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4D" w:rsidRPr="00205E3D" w:rsidRDefault="008D24B2" w:rsidP="00BD4D66">
      <w:pPr>
        <w:pStyle w:val="1"/>
        <w:spacing w:before="0" w:beforeAutospacing="0" w:after="75" w:afterAutospacing="0"/>
        <w:jc w:val="center"/>
        <w:rPr>
          <w:rFonts w:asciiTheme="minorHAnsi" w:hAnsiTheme="minorHAnsi" w:cs="Arial"/>
          <w:color w:val="141414"/>
          <w:sz w:val="32"/>
          <w:szCs w:val="32"/>
        </w:rPr>
      </w:pPr>
      <w:r w:rsidRPr="00205E3D">
        <w:rPr>
          <w:rFonts w:asciiTheme="minorHAnsi" w:hAnsiTheme="minorHAnsi"/>
        </w:rPr>
        <w:fldChar w:fldCharType="begin"/>
      </w:r>
      <w:r w:rsidRPr="00205E3D">
        <w:rPr>
          <w:rFonts w:asciiTheme="minorHAnsi" w:hAnsiTheme="minorHAnsi"/>
        </w:rPr>
        <w:instrText xml:space="preserve"> HYPERLINK "https://finansist-kras.ru/bitrix/admin/iblock_element_edit.php?IBLOCK_ID=8&amp;type=news&amp;ID=1316560&amp;lang=ru&amp;find_section_section=14&amp;WF=Y" \o "Редактировать элемент" </w:instrText>
      </w:r>
      <w:r w:rsidRPr="00205E3D">
        <w:rPr>
          <w:rFonts w:asciiTheme="minorHAnsi" w:hAnsiTheme="minorHAnsi"/>
        </w:rPr>
        <w:fldChar w:fldCharType="separate"/>
      </w:r>
      <w:r w:rsidR="00205E3D" w:rsidRPr="00205E3D">
        <w:rPr>
          <w:rFonts w:asciiTheme="minorHAnsi" w:hAnsiTheme="minorHAnsi" w:cs="Arial"/>
          <w:sz w:val="32"/>
          <w:szCs w:val="32"/>
        </w:rPr>
        <w:t xml:space="preserve">Рейтинг банковских вкладов физических лиц в рублях, ноябрь 2020 </w:t>
      </w:r>
      <w:r w:rsidRPr="00205E3D">
        <w:rPr>
          <w:rFonts w:asciiTheme="minorHAnsi" w:hAnsiTheme="minorHAnsi" w:cs="Arial"/>
          <w:sz w:val="32"/>
          <w:szCs w:val="32"/>
        </w:rPr>
        <w:fldChar w:fldCharType="end"/>
      </w:r>
      <w:r w:rsidR="00555D06" w:rsidRPr="00205E3D">
        <w:rPr>
          <w:rFonts w:asciiTheme="minorHAnsi" w:hAnsiTheme="minorHAnsi" w:cs="Arial"/>
          <w:sz w:val="32"/>
          <w:szCs w:val="32"/>
        </w:rPr>
        <w:t>с указанием баллов</w:t>
      </w:r>
      <w:r w:rsidR="006A5E23" w:rsidRPr="00205E3D">
        <w:rPr>
          <w:rFonts w:asciiTheme="minorHAnsi" w:hAnsiTheme="minorHAnsi" w:cs="Arial"/>
          <w:sz w:val="32"/>
          <w:szCs w:val="32"/>
        </w:rPr>
        <w:br/>
      </w:r>
      <w:hyperlink r:id="rId6" w:history="1">
        <w:r w:rsidR="00106E4D" w:rsidRPr="00205E3D">
          <w:rPr>
            <w:rStyle w:val="a3"/>
            <w:rFonts w:asciiTheme="minorHAnsi" w:hAnsiTheme="minorHAnsi" w:cs="Arial"/>
            <w:sz w:val="32"/>
            <w:szCs w:val="32"/>
            <w:lang w:val="en-US"/>
          </w:rPr>
          <w:t>www</w:t>
        </w:r>
        <w:r w:rsidR="00106E4D" w:rsidRPr="00205E3D">
          <w:rPr>
            <w:rStyle w:val="a3"/>
            <w:rFonts w:asciiTheme="minorHAnsi" w:hAnsiTheme="minorHAnsi" w:cs="Arial"/>
            <w:sz w:val="32"/>
            <w:szCs w:val="32"/>
          </w:rPr>
          <w:t>.finansist-k</w:t>
        </w:r>
        <w:r w:rsidR="00106E4D" w:rsidRPr="00205E3D">
          <w:rPr>
            <w:rStyle w:val="a3"/>
            <w:rFonts w:asciiTheme="minorHAnsi" w:hAnsiTheme="minorHAnsi" w:cs="Arial"/>
            <w:sz w:val="32"/>
            <w:szCs w:val="32"/>
            <w:lang w:val="en-US"/>
          </w:rPr>
          <w:t>ras</w:t>
        </w:r>
        <w:r w:rsidR="00106E4D" w:rsidRPr="00205E3D">
          <w:rPr>
            <w:rStyle w:val="a3"/>
            <w:rFonts w:asciiTheme="minorHAnsi" w:hAnsiTheme="minorHAnsi" w:cs="Arial"/>
            <w:sz w:val="32"/>
            <w:szCs w:val="32"/>
          </w:rPr>
          <w:t>.ru</w:t>
        </w:r>
      </w:hyperlink>
    </w:p>
    <w:tbl>
      <w:tblPr>
        <w:tblStyle w:val="a5"/>
        <w:tblW w:w="10545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766"/>
        <w:gridCol w:w="921"/>
        <w:gridCol w:w="709"/>
        <w:gridCol w:w="1063"/>
        <w:gridCol w:w="1134"/>
        <w:gridCol w:w="1134"/>
        <w:gridCol w:w="1134"/>
        <w:gridCol w:w="1117"/>
      </w:tblGrid>
      <w:tr w:rsidR="00137F9C" w:rsidTr="00137F9C">
        <w:trPr>
          <w:trHeight w:val="840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банка и депозитной программы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Ставка, %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годовых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Итог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1 критерий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2 критерий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3 критерий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4 критерий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5 критерий</w:t>
            </w:r>
          </w:p>
        </w:tc>
      </w:tr>
      <w:tr w:rsidR="00137F9C" w:rsidTr="00137F9C">
        <w:trPr>
          <w:trHeight w:val="63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РЕНЕССАНС КРЕДИТ</w:t>
            </w:r>
          </w:p>
          <w:p w:rsidR="00137F9C" w:rsidRDefault="00137F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«Ренессанс Доходный»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137F9C" w:rsidTr="00137F9C">
        <w:trPr>
          <w:trHeight w:val="63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СОВКОМБАНК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«Щедрая осень с Халвой»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37F9C" w:rsidTr="00137F9C">
        <w:trPr>
          <w:trHeight w:val="63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ДАЛЬНЕВОСТОЧНЫЙ БАНК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«Доходный»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137F9C" w:rsidTr="00137F9C">
        <w:trPr>
          <w:trHeight w:val="63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МЕЖДУНАРОДНЫЙ ФИНАНСОВЫЙ КЛУБ</w:t>
            </w:r>
            <w:r>
              <w:rPr>
                <w:sz w:val="20"/>
                <w:szCs w:val="20"/>
                <w:lang w:eastAsia="en-US"/>
              </w:rPr>
              <w:br/>
              <w:t>«МФК Максимум»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37F9C" w:rsidTr="00137F9C">
        <w:trPr>
          <w:trHeight w:val="63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СДМ-БАНК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«Формула здоровья»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37F9C" w:rsidTr="00137F9C">
        <w:trPr>
          <w:trHeight w:val="63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ЭКСПОБАНК</w:t>
            </w:r>
            <w:r>
              <w:rPr>
                <w:sz w:val="20"/>
                <w:szCs w:val="20"/>
                <w:lang w:eastAsia="en-US"/>
              </w:rPr>
              <w:br/>
              <w:t>«Рождественский ЭКСПО»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37F9C" w:rsidTr="00137F9C">
        <w:trPr>
          <w:trHeight w:val="630"/>
          <w:jc w:val="center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АКЦЕПТ</w:t>
            </w:r>
            <w:r>
              <w:rPr>
                <w:sz w:val="20"/>
                <w:szCs w:val="20"/>
                <w:lang w:eastAsia="en-US"/>
              </w:rPr>
              <w:br/>
              <w:t>«Максимум»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137F9C" w:rsidTr="00137F9C">
        <w:trPr>
          <w:trHeight w:val="630"/>
          <w:jc w:val="center"/>
        </w:trPr>
        <w:tc>
          <w:tcPr>
            <w:tcW w:w="567" w:type="dxa"/>
            <w:vMerge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ББР БАНК</w:t>
            </w:r>
            <w:r>
              <w:rPr>
                <w:sz w:val="20"/>
                <w:szCs w:val="20"/>
                <w:lang w:eastAsia="en-US"/>
              </w:rPr>
              <w:br/>
              <w:t>«Ставка на рост»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137F9C" w:rsidTr="00137F9C">
        <w:trPr>
          <w:trHeight w:val="630"/>
          <w:jc w:val="center"/>
        </w:trPr>
        <w:tc>
          <w:tcPr>
            <w:tcW w:w="567" w:type="dxa"/>
            <w:vMerge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БРАТСКИЙ АНКБ</w:t>
            </w:r>
          </w:p>
          <w:p w:rsidR="00137F9C" w:rsidRDefault="00137F9C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«Зимний»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37F9C" w:rsidTr="00137F9C">
        <w:trPr>
          <w:trHeight w:val="630"/>
          <w:jc w:val="center"/>
        </w:trPr>
        <w:tc>
          <w:tcPr>
            <w:tcW w:w="567" w:type="dxa"/>
            <w:vMerge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ВОСТОЧНЫЙ БАНК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«Восточный»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37F9C" w:rsidTr="00137F9C">
        <w:trPr>
          <w:trHeight w:val="630"/>
          <w:jc w:val="center"/>
        </w:trPr>
        <w:tc>
          <w:tcPr>
            <w:tcW w:w="567" w:type="dxa"/>
            <w:vMerge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ЛАНТА-БАНК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«Вечный двигатель»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37F9C" w:rsidTr="00137F9C">
        <w:trPr>
          <w:trHeight w:val="630"/>
          <w:jc w:val="center"/>
        </w:trPr>
        <w:tc>
          <w:tcPr>
            <w:tcW w:w="567" w:type="dxa"/>
            <w:vMerge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ЛЕВОБЕРЕЖНЫЙ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«Копилка+»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37F9C" w:rsidTr="00137F9C">
        <w:trPr>
          <w:trHeight w:val="630"/>
          <w:jc w:val="center"/>
        </w:trPr>
        <w:tc>
          <w:tcPr>
            <w:tcW w:w="567" w:type="dxa"/>
            <w:vMerge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МТС-БАНК</w:t>
            </w:r>
            <w:r>
              <w:rPr>
                <w:sz w:val="20"/>
                <w:szCs w:val="20"/>
                <w:lang w:eastAsia="en-US"/>
              </w:rPr>
              <w:br/>
              <w:t>«Бери выше»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37F9C" w:rsidTr="00137F9C">
        <w:trPr>
          <w:trHeight w:val="630"/>
          <w:jc w:val="center"/>
        </w:trPr>
        <w:tc>
          <w:tcPr>
            <w:tcW w:w="567" w:type="dxa"/>
            <w:vMerge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ФИНАМ</w:t>
            </w:r>
            <w:r>
              <w:rPr>
                <w:sz w:val="20"/>
                <w:szCs w:val="20"/>
                <w:lang w:eastAsia="en-US"/>
              </w:rPr>
              <w:br/>
              <w:t>«Лучший»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37F9C" w:rsidTr="00137F9C">
        <w:trPr>
          <w:trHeight w:val="630"/>
          <w:jc w:val="center"/>
        </w:trPr>
        <w:tc>
          <w:tcPr>
            <w:tcW w:w="567" w:type="dxa"/>
            <w:vMerge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ФРИДОМ ФИНАНС</w:t>
            </w:r>
            <w:r>
              <w:rPr>
                <w:sz w:val="20"/>
                <w:szCs w:val="20"/>
                <w:lang w:eastAsia="en-US"/>
              </w:rPr>
              <w:br/>
              <w:t>«Срочный»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37F9C" w:rsidTr="00137F9C">
        <w:trPr>
          <w:trHeight w:val="630"/>
          <w:jc w:val="center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66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 БАРС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«Просто накопить»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137F9C" w:rsidTr="00137F9C">
        <w:trPr>
          <w:trHeight w:val="630"/>
          <w:jc w:val="center"/>
        </w:trPr>
        <w:tc>
          <w:tcPr>
            <w:tcW w:w="567" w:type="dxa"/>
            <w:vMerge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«Надежная основа»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137F9C" w:rsidTr="00137F9C">
        <w:trPr>
          <w:trHeight w:val="630"/>
          <w:jc w:val="center"/>
        </w:trPr>
        <w:tc>
          <w:tcPr>
            <w:tcW w:w="567" w:type="dxa"/>
            <w:vMerge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УРАЛСИБ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«Доход»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137F9C" w:rsidTr="00137F9C">
        <w:trPr>
          <w:trHeight w:val="63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vAlign w:val="center"/>
          </w:tcPr>
          <w:p w:rsidR="00137F9C" w:rsidRDefault="00137F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37F9C" w:rsidRDefault="00137F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37F9C" w:rsidRDefault="00137F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37F9C" w:rsidRDefault="00137F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37F9C" w:rsidRDefault="00137F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АЗИАТСКО-ТИХООКЕАНСКИЙ БАНК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«Сохрани»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4,30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137F9C" w:rsidTr="00137F9C">
        <w:trPr>
          <w:trHeight w:val="63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БАНК ИНТЕЗА</w:t>
            </w:r>
            <w:r>
              <w:rPr>
                <w:b/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«Классика»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137F9C" w:rsidTr="00137F9C">
        <w:trPr>
          <w:trHeight w:val="63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МОСОБЛБАНК</w:t>
            </w:r>
            <w:r>
              <w:rPr>
                <w:sz w:val="20"/>
                <w:szCs w:val="20"/>
                <w:lang w:eastAsia="en-US"/>
              </w:rPr>
              <w:br/>
              <w:t>«Персональный»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37F9C" w:rsidTr="00137F9C">
        <w:trPr>
          <w:trHeight w:val="63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ПОЧТА БАНК</w:t>
            </w:r>
          </w:p>
          <w:p w:rsidR="00137F9C" w:rsidRDefault="00137F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«Капитальный»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137F9C" w:rsidTr="00137F9C">
        <w:trPr>
          <w:trHeight w:val="630"/>
          <w:jc w:val="center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АЛЬФА-БАНК</w:t>
            </w:r>
            <w:r>
              <w:rPr>
                <w:sz w:val="20"/>
                <w:szCs w:val="20"/>
                <w:lang w:eastAsia="en-US"/>
              </w:rPr>
              <w:br/>
              <w:t>«Альфа-Вклад»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37F9C" w:rsidTr="00137F9C">
        <w:trPr>
          <w:trHeight w:val="630"/>
          <w:jc w:val="center"/>
        </w:trPr>
        <w:tc>
          <w:tcPr>
            <w:tcW w:w="567" w:type="dxa"/>
            <w:vMerge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БАНК СОЮЗ</w:t>
            </w:r>
          </w:p>
          <w:p w:rsidR="00137F9C" w:rsidRDefault="00137F9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«Надежный процент»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137F9C" w:rsidTr="00137F9C">
        <w:trPr>
          <w:trHeight w:val="630"/>
          <w:jc w:val="center"/>
        </w:trPr>
        <w:tc>
          <w:tcPr>
            <w:tcW w:w="567" w:type="dxa"/>
            <w:vMerge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</w:t>
            </w:r>
          </w:p>
          <w:p w:rsidR="00137F9C" w:rsidRDefault="00137F9C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«Домашний»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37F9C" w:rsidTr="00137F9C">
        <w:trPr>
          <w:trHeight w:val="630"/>
          <w:jc w:val="center"/>
        </w:trPr>
        <w:tc>
          <w:tcPr>
            <w:tcW w:w="567" w:type="dxa"/>
            <w:vMerge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ОТП БАНК</w:t>
            </w:r>
            <w:r>
              <w:rPr>
                <w:b/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«Максимальный»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137F9C" w:rsidTr="00137F9C">
        <w:trPr>
          <w:trHeight w:val="630"/>
          <w:jc w:val="center"/>
        </w:trPr>
        <w:tc>
          <w:tcPr>
            <w:tcW w:w="567" w:type="dxa"/>
            <w:vMerge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РОСГОССТРАХ БАНК</w:t>
            </w:r>
          </w:p>
          <w:p w:rsidR="00137F9C" w:rsidRDefault="00137F9C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«Дорога к цели»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37F9C" w:rsidTr="00137F9C">
        <w:trPr>
          <w:trHeight w:val="630"/>
          <w:jc w:val="center"/>
        </w:trPr>
        <w:tc>
          <w:tcPr>
            <w:tcW w:w="567" w:type="dxa"/>
            <w:vMerge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ХОУМ КРЕДИТ ЭНД ФИНАНС БАНК</w:t>
            </w:r>
          </w:p>
          <w:p w:rsidR="00137F9C" w:rsidRDefault="00137F9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«12 месяцев Плюс»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37F9C" w:rsidTr="00137F9C">
        <w:trPr>
          <w:trHeight w:val="63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vAlign w:val="center"/>
          </w:tcPr>
          <w:p w:rsidR="00137F9C" w:rsidRDefault="00137F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7F9C" w:rsidRDefault="00137F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7F9C" w:rsidRDefault="00137F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7F9C" w:rsidRDefault="00137F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7F9C" w:rsidRDefault="00137F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7F9C" w:rsidRDefault="00137F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7F9C" w:rsidRDefault="00137F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АВАНГАРД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«Базовый»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37F9C" w:rsidTr="00137F9C">
        <w:trPr>
          <w:trHeight w:val="63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БАНК ОТКРЫТИЕ</w:t>
            </w:r>
            <w:r>
              <w:rPr>
                <w:sz w:val="20"/>
                <w:szCs w:val="20"/>
                <w:lang w:eastAsia="en-US"/>
              </w:rPr>
              <w:t xml:space="preserve"> «Надежный»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37F9C" w:rsidTr="00137F9C">
        <w:trPr>
          <w:trHeight w:val="63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ГАЗПРОМБАНК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«Процент успеха»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37F9C" w:rsidTr="00137F9C">
        <w:trPr>
          <w:trHeight w:val="63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ЕНИСЕЙСКИЙ ОБЪЕДИНЕННЫЙ БАНК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«Основа»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37F9C" w:rsidTr="00137F9C">
        <w:trPr>
          <w:trHeight w:val="63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КРЕДИТ ЕВРОПА БАНК</w:t>
            </w:r>
          </w:p>
          <w:p w:rsidR="00137F9C" w:rsidRDefault="00137F9C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«Оптимальный»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37F9C" w:rsidTr="00137F9C">
        <w:trPr>
          <w:trHeight w:val="63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РОССЕЛЬХОЗБАНК</w:t>
            </w:r>
          </w:p>
          <w:p w:rsidR="00137F9C" w:rsidRDefault="00137F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«Доходный»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37F9C" w:rsidTr="00137F9C">
        <w:trPr>
          <w:trHeight w:val="63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РУССКИЙ СТАНДАРТ</w:t>
            </w:r>
            <w:r>
              <w:rPr>
                <w:sz w:val="20"/>
                <w:szCs w:val="20"/>
                <w:lang w:eastAsia="en-US"/>
              </w:rPr>
              <w:t xml:space="preserve"> «Русский Стандарт - Максимальный доход Плюс»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37F9C" w:rsidTr="00137F9C">
        <w:trPr>
          <w:trHeight w:val="63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ХАКАССКИЙ МУНИЦИПАЛЬНЫЙ БАНК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«Выгодный»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37F9C" w:rsidTr="00137F9C">
        <w:trPr>
          <w:trHeight w:val="630"/>
          <w:jc w:val="center"/>
        </w:trPr>
        <w:tc>
          <w:tcPr>
            <w:tcW w:w="567" w:type="dxa"/>
            <w:vMerge w:val="restart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766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ПРОМСВЯЗЬБАНК</w:t>
            </w:r>
            <w:r>
              <w:rPr>
                <w:sz w:val="20"/>
                <w:szCs w:val="20"/>
                <w:lang w:eastAsia="en-US"/>
              </w:rPr>
              <w:br/>
              <w:t>«Моя копилка»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37F9C" w:rsidTr="00137F9C">
        <w:trPr>
          <w:trHeight w:val="630"/>
          <w:jc w:val="center"/>
        </w:trPr>
        <w:tc>
          <w:tcPr>
            <w:tcW w:w="567" w:type="dxa"/>
            <w:vMerge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СБЕРБАНК</w:t>
            </w:r>
            <w:r>
              <w:rPr>
                <w:sz w:val="20"/>
                <w:szCs w:val="20"/>
                <w:lang w:eastAsia="en-US"/>
              </w:rPr>
              <w:br/>
              <w:t>«Сохраняй»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137F9C" w:rsidTr="00137F9C">
        <w:trPr>
          <w:trHeight w:val="630"/>
          <w:jc w:val="center"/>
        </w:trPr>
        <w:tc>
          <w:tcPr>
            <w:tcW w:w="567" w:type="dxa"/>
            <w:vMerge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ЮНИКРЕДИТ БАНК</w:t>
            </w:r>
          </w:p>
          <w:p w:rsidR="00137F9C" w:rsidRDefault="00137F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«Первоклассный»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37F9C" w:rsidTr="00137F9C">
        <w:trPr>
          <w:trHeight w:val="630"/>
          <w:jc w:val="center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ПРЕМЬЕР БКС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«Доходный»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137F9C" w:rsidTr="00137F9C">
        <w:trPr>
          <w:trHeight w:val="630"/>
          <w:jc w:val="center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РАЙФФАЙЗЕНБАНК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«Стабильный рост»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37F9C" w:rsidTr="00137F9C">
        <w:trPr>
          <w:trHeight w:val="630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РОСБАНК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«150 лет надежности»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F9C" w:rsidRDefault="00137F9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555D06" w:rsidRPr="00205E3D" w:rsidRDefault="00555D06" w:rsidP="00555D06">
      <w:pPr>
        <w:spacing w:after="125" w:line="240" w:lineRule="auto"/>
        <w:outlineLvl w:val="2"/>
        <w:rPr>
          <w:rFonts w:eastAsia="Times New Roman" w:cs="Segoe UI"/>
          <w:b/>
          <w:bCs/>
          <w:color w:val="141414"/>
          <w:sz w:val="25"/>
          <w:szCs w:val="25"/>
          <w:lang w:eastAsia="ru-RU"/>
        </w:rPr>
      </w:pPr>
      <w:bookmarkStart w:id="0" w:name="_GoBack"/>
      <w:bookmarkEnd w:id="0"/>
    </w:p>
    <w:p w:rsidR="00BD4D66" w:rsidRPr="00205E3D" w:rsidRDefault="00BD4D66" w:rsidP="00BD4D66">
      <w:pPr>
        <w:pStyle w:val="2"/>
        <w:spacing w:before="0" w:after="150"/>
        <w:rPr>
          <w:rFonts w:asciiTheme="minorHAnsi" w:hAnsiTheme="minorHAnsi" w:cs="Segoe UI"/>
          <w:color w:val="141414"/>
        </w:rPr>
      </w:pPr>
      <w:r w:rsidRPr="00205E3D">
        <w:rPr>
          <w:rFonts w:asciiTheme="minorHAnsi" w:hAnsiTheme="minorHAnsi" w:cs="Segoe UI"/>
          <w:color w:val="141414"/>
        </w:rPr>
        <w:t>Критерии оценки рейтинга:</w:t>
      </w:r>
    </w:p>
    <w:p w:rsidR="00205E3D" w:rsidRPr="00205E3D" w:rsidRDefault="00205E3D" w:rsidP="00205E3D">
      <w:pPr>
        <w:spacing w:before="120" w:after="120" w:line="240" w:lineRule="auto"/>
        <w:rPr>
          <w:rFonts w:eastAsia="Times New Roman" w:cs="Segoe UI"/>
          <w:color w:val="141414"/>
          <w:sz w:val="18"/>
          <w:szCs w:val="18"/>
          <w:lang w:eastAsia="ru-RU"/>
        </w:rPr>
      </w:pPr>
      <w:r w:rsidRPr="00205E3D">
        <w:rPr>
          <w:rFonts w:eastAsia="Times New Roman" w:cs="Segoe UI"/>
          <w:color w:val="141414"/>
          <w:sz w:val="18"/>
          <w:szCs w:val="18"/>
          <w:lang w:eastAsia="ru-RU"/>
        </w:rPr>
        <w:t>1. </w:t>
      </w:r>
      <w:r w:rsidRPr="00205E3D">
        <w:rPr>
          <w:rFonts w:eastAsia="Times New Roman" w:cs="Segoe UI"/>
          <w:b/>
          <w:bCs/>
          <w:color w:val="141414"/>
          <w:sz w:val="18"/>
          <w:szCs w:val="18"/>
          <w:lang w:eastAsia="ru-RU"/>
        </w:rPr>
        <w:t>Величина годовой процентной ставки</w:t>
      </w:r>
      <w:r w:rsidRPr="00205E3D">
        <w:rPr>
          <w:rFonts w:eastAsia="Times New Roman" w:cs="Segoe UI"/>
          <w:color w:val="141414"/>
          <w:sz w:val="18"/>
          <w:szCs w:val="18"/>
          <w:lang w:eastAsia="ru-RU"/>
        </w:rPr>
        <w:t xml:space="preserve"> (средняя ставка составляет 4,19% </w:t>
      </w:r>
      <w:proofErr w:type="gramStart"/>
      <w:r w:rsidRPr="00205E3D">
        <w:rPr>
          <w:rFonts w:eastAsia="Times New Roman" w:cs="Segoe UI"/>
          <w:color w:val="141414"/>
          <w:sz w:val="18"/>
          <w:szCs w:val="18"/>
          <w:lang w:eastAsia="ru-RU"/>
        </w:rPr>
        <w:t>годовых</w:t>
      </w:r>
      <w:proofErr w:type="gramEnd"/>
      <w:r w:rsidRPr="00205E3D">
        <w:rPr>
          <w:rFonts w:eastAsia="Times New Roman" w:cs="Segoe UI"/>
          <w:color w:val="141414"/>
          <w:sz w:val="18"/>
          <w:szCs w:val="18"/>
          <w:lang w:eastAsia="ru-RU"/>
        </w:rPr>
        <w:t>): </w:t>
      </w:r>
    </w:p>
    <w:p w:rsidR="00205E3D" w:rsidRPr="00205E3D" w:rsidRDefault="00205E3D" w:rsidP="00205E3D">
      <w:pPr>
        <w:numPr>
          <w:ilvl w:val="0"/>
          <w:numId w:val="21"/>
        </w:numPr>
        <w:spacing w:before="120" w:after="120" w:line="240" w:lineRule="auto"/>
        <w:ind w:left="0"/>
        <w:rPr>
          <w:rFonts w:eastAsia="Times New Roman" w:cs="Segoe UI"/>
          <w:color w:val="141414"/>
          <w:sz w:val="18"/>
          <w:szCs w:val="18"/>
          <w:lang w:eastAsia="ru-RU"/>
        </w:rPr>
      </w:pPr>
      <w:r w:rsidRPr="00205E3D">
        <w:rPr>
          <w:rFonts w:eastAsia="Times New Roman" w:cs="Segoe UI"/>
          <w:color w:val="141414"/>
          <w:sz w:val="18"/>
          <w:szCs w:val="18"/>
          <w:lang w:eastAsia="ru-RU"/>
        </w:rPr>
        <w:t>0 баллов — ниже среднего значения; </w:t>
      </w:r>
    </w:p>
    <w:p w:rsidR="00205E3D" w:rsidRPr="00205E3D" w:rsidRDefault="00205E3D" w:rsidP="00205E3D">
      <w:pPr>
        <w:numPr>
          <w:ilvl w:val="0"/>
          <w:numId w:val="21"/>
        </w:numPr>
        <w:spacing w:before="120" w:after="120" w:line="240" w:lineRule="auto"/>
        <w:ind w:left="0"/>
        <w:rPr>
          <w:rFonts w:eastAsia="Times New Roman" w:cs="Segoe UI"/>
          <w:color w:val="141414"/>
          <w:sz w:val="18"/>
          <w:szCs w:val="18"/>
          <w:lang w:eastAsia="ru-RU"/>
        </w:rPr>
      </w:pPr>
      <w:r w:rsidRPr="00205E3D">
        <w:rPr>
          <w:rFonts w:eastAsia="Times New Roman" w:cs="Segoe UI"/>
          <w:color w:val="141414"/>
          <w:sz w:val="18"/>
          <w:szCs w:val="18"/>
          <w:lang w:eastAsia="ru-RU"/>
        </w:rPr>
        <w:t xml:space="preserve">2 балла — приблизительно </w:t>
      </w:r>
      <w:proofErr w:type="gramStart"/>
      <w:r w:rsidRPr="00205E3D">
        <w:rPr>
          <w:rFonts w:eastAsia="Times New Roman" w:cs="Segoe UI"/>
          <w:color w:val="141414"/>
          <w:sz w:val="18"/>
          <w:szCs w:val="18"/>
          <w:lang w:eastAsia="ru-RU"/>
        </w:rPr>
        <w:t>равна</w:t>
      </w:r>
      <w:proofErr w:type="gramEnd"/>
      <w:r w:rsidRPr="00205E3D">
        <w:rPr>
          <w:rFonts w:eastAsia="Times New Roman" w:cs="Segoe UI"/>
          <w:color w:val="141414"/>
          <w:sz w:val="18"/>
          <w:szCs w:val="18"/>
          <w:lang w:eastAsia="ru-RU"/>
        </w:rPr>
        <w:t xml:space="preserve"> среднему значению (±0,5%); </w:t>
      </w:r>
    </w:p>
    <w:p w:rsidR="00205E3D" w:rsidRPr="00205E3D" w:rsidRDefault="00205E3D" w:rsidP="00205E3D">
      <w:pPr>
        <w:numPr>
          <w:ilvl w:val="0"/>
          <w:numId w:val="21"/>
        </w:numPr>
        <w:spacing w:before="120" w:after="120" w:line="240" w:lineRule="auto"/>
        <w:ind w:left="0"/>
        <w:rPr>
          <w:rFonts w:eastAsia="Times New Roman" w:cs="Segoe UI"/>
          <w:color w:val="141414"/>
          <w:sz w:val="18"/>
          <w:szCs w:val="18"/>
          <w:lang w:eastAsia="ru-RU"/>
        </w:rPr>
      </w:pPr>
      <w:r w:rsidRPr="00205E3D">
        <w:rPr>
          <w:rFonts w:eastAsia="Times New Roman" w:cs="Segoe UI"/>
          <w:color w:val="141414"/>
          <w:sz w:val="18"/>
          <w:szCs w:val="18"/>
          <w:lang w:eastAsia="ru-RU"/>
        </w:rPr>
        <w:t>4 балла — выше среднего значения. </w:t>
      </w:r>
    </w:p>
    <w:p w:rsidR="00205E3D" w:rsidRPr="00205E3D" w:rsidRDefault="00205E3D" w:rsidP="00205E3D">
      <w:pPr>
        <w:spacing w:after="100" w:line="240" w:lineRule="auto"/>
        <w:rPr>
          <w:rFonts w:eastAsia="Times New Roman" w:cs="Segoe UI"/>
          <w:color w:val="141414"/>
          <w:sz w:val="18"/>
          <w:szCs w:val="18"/>
          <w:lang w:eastAsia="ru-RU"/>
        </w:rPr>
      </w:pPr>
    </w:p>
    <w:p w:rsidR="00205E3D" w:rsidRPr="00205E3D" w:rsidRDefault="00205E3D" w:rsidP="00205E3D">
      <w:pPr>
        <w:spacing w:before="120" w:after="120" w:line="240" w:lineRule="auto"/>
        <w:rPr>
          <w:rFonts w:eastAsia="Times New Roman" w:cs="Segoe UI"/>
          <w:color w:val="141414"/>
          <w:sz w:val="18"/>
          <w:szCs w:val="18"/>
          <w:lang w:eastAsia="ru-RU"/>
        </w:rPr>
      </w:pPr>
      <w:r w:rsidRPr="00205E3D">
        <w:rPr>
          <w:rFonts w:eastAsia="Times New Roman" w:cs="Segoe UI"/>
          <w:color w:val="141414"/>
          <w:sz w:val="18"/>
          <w:szCs w:val="18"/>
          <w:lang w:eastAsia="ru-RU"/>
        </w:rPr>
        <w:t>2. </w:t>
      </w:r>
      <w:r w:rsidRPr="00205E3D">
        <w:rPr>
          <w:rFonts w:eastAsia="Times New Roman" w:cs="Segoe UI"/>
          <w:b/>
          <w:bCs/>
          <w:color w:val="141414"/>
          <w:sz w:val="18"/>
          <w:szCs w:val="18"/>
          <w:lang w:eastAsia="ru-RU"/>
        </w:rPr>
        <w:t>Наличие опции капитализации процентов</w:t>
      </w:r>
      <w:r w:rsidRPr="00205E3D">
        <w:rPr>
          <w:rFonts w:eastAsia="Times New Roman" w:cs="Segoe UI"/>
          <w:color w:val="141414"/>
          <w:sz w:val="18"/>
          <w:szCs w:val="18"/>
          <w:lang w:eastAsia="ru-RU"/>
        </w:rPr>
        <w:t>:</w:t>
      </w:r>
    </w:p>
    <w:p w:rsidR="00205E3D" w:rsidRPr="00205E3D" w:rsidRDefault="00205E3D" w:rsidP="00205E3D">
      <w:pPr>
        <w:numPr>
          <w:ilvl w:val="0"/>
          <w:numId w:val="24"/>
        </w:numPr>
        <w:spacing w:before="120" w:after="120" w:line="240" w:lineRule="auto"/>
        <w:ind w:left="0"/>
        <w:rPr>
          <w:rFonts w:eastAsia="Times New Roman" w:cs="Segoe UI"/>
          <w:color w:val="141414"/>
          <w:sz w:val="18"/>
          <w:szCs w:val="18"/>
          <w:lang w:eastAsia="ru-RU"/>
        </w:rPr>
      </w:pPr>
      <w:r w:rsidRPr="00205E3D">
        <w:rPr>
          <w:rFonts w:eastAsia="Times New Roman" w:cs="Segoe UI"/>
          <w:color w:val="141414"/>
          <w:sz w:val="18"/>
          <w:szCs w:val="18"/>
          <w:lang w:eastAsia="ru-RU"/>
        </w:rPr>
        <w:t>0 баллов — капитализация процентов не предусмотрена;</w:t>
      </w:r>
    </w:p>
    <w:p w:rsidR="00205E3D" w:rsidRPr="00205E3D" w:rsidRDefault="00205E3D" w:rsidP="00205E3D">
      <w:pPr>
        <w:numPr>
          <w:ilvl w:val="0"/>
          <w:numId w:val="24"/>
        </w:numPr>
        <w:spacing w:before="120" w:after="120" w:line="240" w:lineRule="auto"/>
        <w:ind w:left="0"/>
        <w:rPr>
          <w:rFonts w:eastAsia="Times New Roman" w:cs="Segoe UI"/>
          <w:color w:val="141414"/>
          <w:sz w:val="18"/>
          <w:szCs w:val="18"/>
          <w:lang w:eastAsia="ru-RU"/>
        </w:rPr>
      </w:pPr>
      <w:r w:rsidRPr="00205E3D">
        <w:rPr>
          <w:rFonts w:eastAsia="Times New Roman" w:cs="Segoe UI"/>
          <w:color w:val="141414"/>
          <w:sz w:val="18"/>
          <w:szCs w:val="18"/>
          <w:lang w:eastAsia="ru-RU"/>
        </w:rPr>
        <w:t>0,5 балла — предусмотрена капитализация процентов по вкладу.</w:t>
      </w:r>
    </w:p>
    <w:p w:rsidR="00205E3D" w:rsidRPr="00205E3D" w:rsidRDefault="00205E3D" w:rsidP="00205E3D">
      <w:pPr>
        <w:spacing w:before="120" w:after="120" w:line="240" w:lineRule="auto"/>
        <w:rPr>
          <w:rFonts w:eastAsia="Times New Roman" w:cs="Segoe UI"/>
          <w:color w:val="141414"/>
          <w:sz w:val="18"/>
          <w:szCs w:val="18"/>
          <w:lang w:eastAsia="ru-RU"/>
        </w:rPr>
      </w:pPr>
    </w:p>
    <w:p w:rsidR="00205E3D" w:rsidRPr="00205E3D" w:rsidRDefault="00205E3D" w:rsidP="00205E3D">
      <w:pPr>
        <w:spacing w:before="120" w:after="120" w:line="240" w:lineRule="auto"/>
        <w:rPr>
          <w:rFonts w:eastAsia="Times New Roman" w:cs="Segoe UI"/>
          <w:color w:val="141414"/>
          <w:sz w:val="18"/>
          <w:szCs w:val="18"/>
          <w:lang w:eastAsia="ru-RU"/>
        </w:rPr>
      </w:pPr>
      <w:r w:rsidRPr="00205E3D">
        <w:rPr>
          <w:rFonts w:eastAsia="Times New Roman" w:cs="Segoe UI"/>
          <w:color w:val="141414"/>
          <w:sz w:val="18"/>
          <w:szCs w:val="18"/>
          <w:lang w:eastAsia="ru-RU"/>
        </w:rPr>
        <w:t> 3. </w:t>
      </w:r>
      <w:r w:rsidRPr="00205E3D">
        <w:rPr>
          <w:rFonts w:eastAsia="Times New Roman" w:cs="Segoe UI"/>
          <w:b/>
          <w:bCs/>
          <w:color w:val="141414"/>
          <w:sz w:val="18"/>
          <w:szCs w:val="18"/>
          <w:lang w:eastAsia="ru-RU"/>
        </w:rPr>
        <w:t>Возможность пополнения вклада</w:t>
      </w:r>
      <w:r w:rsidRPr="00205E3D">
        <w:rPr>
          <w:rFonts w:eastAsia="Times New Roman" w:cs="Segoe UI"/>
          <w:color w:val="141414"/>
          <w:sz w:val="18"/>
          <w:szCs w:val="18"/>
          <w:lang w:eastAsia="ru-RU"/>
        </w:rPr>
        <w:t>:</w:t>
      </w:r>
    </w:p>
    <w:p w:rsidR="00205E3D" w:rsidRPr="00205E3D" w:rsidRDefault="00205E3D" w:rsidP="00205E3D">
      <w:pPr>
        <w:numPr>
          <w:ilvl w:val="0"/>
          <w:numId w:val="22"/>
        </w:numPr>
        <w:spacing w:before="120" w:after="120" w:line="240" w:lineRule="auto"/>
        <w:ind w:left="0"/>
        <w:rPr>
          <w:rFonts w:eastAsia="Times New Roman" w:cs="Segoe UI"/>
          <w:color w:val="141414"/>
          <w:sz w:val="18"/>
          <w:szCs w:val="18"/>
          <w:lang w:eastAsia="ru-RU"/>
        </w:rPr>
      </w:pPr>
      <w:r w:rsidRPr="00205E3D">
        <w:rPr>
          <w:rFonts w:eastAsia="Times New Roman" w:cs="Segoe UI"/>
          <w:color w:val="141414"/>
          <w:sz w:val="18"/>
          <w:szCs w:val="18"/>
          <w:lang w:eastAsia="ru-RU"/>
        </w:rPr>
        <w:t>0 баллов — возможности нет;</w:t>
      </w:r>
    </w:p>
    <w:p w:rsidR="00205E3D" w:rsidRPr="00205E3D" w:rsidRDefault="00205E3D" w:rsidP="00205E3D">
      <w:pPr>
        <w:numPr>
          <w:ilvl w:val="0"/>
          <w:numId w:val="22"/>
        </w:numPr>
        <w:spacing w:before="120" w:after="120" w:line="240" w:lineRule="auto"/>
        <w:ind w:left="0"/>
        <w:rPr>
          <w:rFonts w:eastAsia="Times New Roman" w:cs="Segoe UI"/>
          <w:color w:val="141414"/>
          <w:sz w:val="18"/>
          <w:szCs w:val="18"/>
          <w:lang w:eastAsia="ru-RU"/>
        </w:rPr>
      </w:pPr>
      <w:r w:rsidRPr="00205E3D">
        <w:rPr>
          <w:rFonts w:eastAsia="Times New Roman" w:cs="Segoe UI"/>
          <w:color w:val="141414"/>
          <w:sz w:val="18"/>
          <w:szCs w:val="18"/>
          <w:lang w:eastAsia="ru-RU"/>
        </w:rPr>
        <w:t>0,5 балла — пополнение в течение первого месяца;</w:t>
      </w:r>
    </w:p>
    <w:p w:rsidR="00205E3D" w:rsidRPr="00205E3D" w:rsidRDefault="00205E3D" w:rsidP="00205E3D">
      <w:pPr>
        <w:numPr>
          <w:ilvl w:val="0"/>
          <w:numId w:val="22"/>
        </w:numPr>
        <w:spacing w:before="120" w:after="120" w:line="240" w:lineRule="auto"/>
        <w:ind w:left="0"/>
        <w:rPr>
          <w:rFonts w:eastAsia="Times New Roman" w:cs="Segoe UI"/>
          <w:color w:val="141414"/>
          <w:sz w:val="18"/>
          <w:szCs w:val="18"/>
          <w:lang w:eastAsia="ru-RU"/>
        </w:rPr>
      </w:pPr>
      <w:r w:rsidRPr="00205E3D">
        <w:rPr>
          <w:rFonts w:eastAsia="Times New Roman" w:cs="Segoe UI"/>
          <w:color w:val="141414"/>
          <w:sz w:val="18"/>
          <w:szCs w:val="18"/>
          <w:lang w:eastAsia="ru-RU"/>
        </w:rPr>
        <w:t>1 балл — возможность пополнения сроком более одного месяца.</w:t>
      </w:r>
    </w:p>
    <w:p w:rsidR="00205E3D" w:rsidRPr="00205E3D" w:rsidRDefault="00205E3D" w:rsidP="00205E3D">
      <w:pPr>
        <w:spacing w:after="100" w:line="240" w:lineRule="auto"/>
        <w:rPr>
          <w:rFonts w:eastAsia="Times New Roman" w:cs="Segoe UI"/>
          <w:color w:val="141414"/>
          <w:sz w:val="18"/>
          <w:szCs w:val="18"/>
          <w:lang w:eastAsia="ru-RU"/>
        </w:rPr>
      </w:pPr>
    </w:p>
    <w:p w:rsidR="00205E3D" w:rsidRPr="00205E3D" w:rsidRDefault="00205E3D" w:rsidP="00205E3D">
      <w:pPr>
        <w:spacing w:before="120" w:after="120" w:line="240" w:lineRule="auto"/>
        <w:rPr>
          <w:rFonts w:eastAsia="Times New Roman" w:cs="Segoe UI"/>
          <w:color w:val="141414"/>
          <w:sz w:val="18"/>
          <w:szCs w:val="18"/>
          <w:lang w:eastAsia="ru-RU"/>
        </w:rPr>
      </w:pPr>
      <w:r w:rsidRPr="00205E3D">
        <w:rPr>
          <w:rFonts w:eastAsia="Times New Roman" w:cs="Segoe UI"/>
          <w:color w:val="141414"/>
          <w:sz w:val="18"/>
          <w:szCs w:val="18"/>
          <w:lang w:eastAsia="ru-RU"/>
        </w:rPr>
        <w:t>4. </w:t>
      </w:r>
      <w:r w:rsidRPr="00205E3D">
        <w:rPr>
          <w:rFonts w:eastAsia="Times New Roman" w:cs="Segoe UI"/>
          <w:b/>
          <w:bCs/>
          <w:color w:val="141414"/>
          <w:sz w:val="18"/>
          <w:szCs w:val="18"/>
          <w:lang w:eastAsia="ru-RU"/>
        </w:rPr>
        <w:t>Право на досрочное изъятие вклада на льготных условиях</w:t>
      </w:r>
      <w:r w:rsidRPr="00205E3D">
        <w:rPr>
          <w:rFonts w:eastAsia="Times New Roman" w:cs="Segoe UI"/>
          <w:color w:val="141414"/>
          <w:sz w:val="18"/>
          <w:szCs w:val="18"/>
          <w:lang w:eastAsia="ru-RU"/>
        </w:rPr>
        <w:t xml:space="preserve"> (ставка выше 1% годовых):</w:t>
      </w:r>
    </w:p>
    <w:p w:rsidR="00205E3D" w:rsidRPr="00205E3D" w:rsidRDefault="00205E3D" w:rsidP="00205E3D">
      <w:pPr>
        <w:numPr>
          <w:ilvl w:val="0"/>
          <w:numId w:val="23"/>
        </w:numPr>
        <w:spacing w:before="120" w:after="120" w:line="240" w:lineRule="auto"/>
        <w:ind w:left="0"/>
        <w:rPr>
          <w:rFonts w:eastAsia="Times New Roman" w:cs="Segoe UI"/>
          <w:color w:val="141414"/>
          <w:sz w:val="18"/>
          <w:szCs w:val="18"/>
          <w:lang w:eastAsia="ru-RU"/>
        </w:rPr>
      </w:pPr>
      <w:r w:rsidRPr="00205E3D">
        <w:rPr>
          <w:rFonts w:eastAsia="Times New Roman" w:cs="Segoe UI"/>
          <w:color w:val="141414"/>
          <w:sz w:val="18"/>
          <w:szCs w:val="18"/>
          <w:lang w:eastAsia="ru-RU"/>
        </w:rPr>
        <w:t>0 баллов — льготная процентная ставка при досрочном изъятии депозита не применяется;</w:t>
      </w:r>
    </w:p>
    <w:p w:rsidR="00205E3D" w:rsidRPr="00205E3D" w:rsidRDefault="00205E3D" w:rsidP="00205E3D">
      <w:pPr>
        <w:numPr>
          <w:ilvl w:val="0"/>
          <w:numId w:val="23"/>
        </w:numPr>
        <w:spacing w:before="120" w:after="120" w:line="240" w:lineRule="auto"/>
        <w:ind w:left="0"/>
        <w:rPr>
          <w:rFonts w:eastAsia="Times New Roman" w:cs="Segoe UI"/>
          <w:color w:val="141414"/>
          <w:sz w:val="18"/>
          <w:szCs w:val="18"/>
          <w:lang w:eastAsia="ru-RU"/>
        </w:rPr>
      </w:pPr>
      <w:r w:rsidRPr="00205E3D">
        <w:rPr>
          <w:rFonts w:eastAsia="Times New Roman" w:cs="Segoe UI"/>
          <w:color w:val="141414"/>
          <w:sz w:val="18"/>
          <w:szCs w:val="18"/>
          <w:lang w:eastAsia="ru-RU"/>
        </w:rPr>
        <w:t>0,5 балла — при досрочном изъятии депозита применяется льготная ставка.</w:t>
      </w:r>
    </w:p>
    <w:p w:rsidR="00205E3D" w:rsidRPr="00205E3D" w:rsidRDefault="00205E3D" w:rsidP="00205E3D">
      <w:pPr>
        <w:spacing w:line="240" w:lineRule="auto"/>
        <w:rPr>
          <w:rFonts w:eastAsia="Times New Roman" w:cs="Segoe UI"/>
          <w:color w:val="141414"/>
          <w:sz w:val="18"/>
          <w:szCs w:val="18"/>
          <w:lang w:eastAsia="ru-RU"/>
        </w:rPr>
      </w:pPr>
    </w:p>
    <w:p w:rsidR="00205E3D" w:rsidRPr="00205E3D" w:rsidRDefault="00205E3D" w:rsidP="00205E3D">
      <w:pPr>
        <w:spacing w:line="240" w:lineRule="auto"/>
        <w:rPr>
          <w:rFonts w:eastAsia="Times New Roman" w:cs="Segoe UI"/>
          <w:b/>
          <w:color w:val="141414"/>
          <w:sz w:val="18"/>
          <w:szCs w:val="18"/>
          <w:lang w:eastAsia="ru-RU"/>
        </w:rPr>
      </w:pPr>
      <w:r w:rsidRPr="00205E3D">
        <w:rPr>
          <w:rFonts w:eastAsia="Times New Roman" w:cs="Segoe UI"/>
          <w:color w:val="141414"/>
          <w:sz w:val="18"/>
          <w:szCs w:val="18"/>
          <w:lang w:eastAsia="ru-RU"/>
        </w:rPr>
        <w:t xml:space="preserve">5. </w:t>
      </w:r>
      <w:r w:rsidRPr="00205E3D">
        <w:rPr>
          <w:rFonts w:eastAsia="Times New Roman" w:cs="Segoe UI"/>
          <w:b/>
          <w:color w:val="141414"/>
          <w:sz w:val="18"/>
          <w:szCs w:val="18"/>
          <w:lang w:eastAsia="ru-RU"/>
        </w:rPr>
        <w:t>Надбавка к процентной ставке за оформление вклада посредством онлайн-каналов:</w:t>
      </w:r>
    </w:p>
    <w:p w:rsidR="00205E3D" w:rsidRPr="00205E3D" w:rsidRDefault="00205E3D" w:rsidP="00205E3D">
      <w:pPr>
        <w:numPr>
          <w:ilvl w:val="0"/>
          <w:numId w:val="24"/>
        </w:numPr>
        <w:spacing w:before="120" w:after="120" w:line="240" w:lineRule="auto"/>
        <w:ind w:left="0"/>
        <w:rPr>
          <w:rFonts w:eastAsia="Times New Roman" w:cs="Segoe UI"/>
          <w:color w:val="141414"/>
          <w:sz w:val="18"/>
          <w:szCs w:val="18"/>
          <w:lang w:eastAsia="ru-RU"/>
        </w:rPr>
      </w:pPr>
      <w:r w:rsidRPr="00205E3D">
        <w:rPr>
          <w:rFonts w:eastAsia="Times New Roman" w:cs="Segoe UI"/>
          <w:color w:val="141414"/>
          <w:sz w:val="18"/>
          <w:szCs w:val="18"/>
          <w:lang w:eastAsia="ru-RU"/>
        </w:rPr>
        <w:t xml:space="preserve">0 баллов — не </w:t>
      </w:r>
      <w:proofErr w:type="gramStart"/>
      <w:r w:rsidRPr="00205E3D">
        <w:rPr>
          <w:rFonts w:eastAsia="Times New Roman" w:cs="Segoe UI"/>
          <w:color w:val="141414"/>
          <w:sz w:val="18"/>
          <w:szCs w:val="18"/>
          <w:lang w:eastAsia="ru-RU"/>
        </w:rPr>
        <w:t>предусмотрена</w:t>
      </w:r>
      <w:proofErr w:type="gramEnd"/>
      <w:r w:rsidRPr="00205E3D">
        <w:rPr>
          <w:rFonts w:eastAsia="Times New Roman" w:cs="Segoe UI"/>
          <w:color w:val="141414"/>
          <w:sz w:val="18"/>
          <w:szCs w:val="18"/>
          <w:lang w:eastAsia="ru-RU"/>
        </w:rPr>
        <w:t>;</w:t>
      </w:r>
    </w:p>
    <w:p w:rsidR="00205E3D" w:rsidRPr="00205E3D" w:rsidRDefault="00205E3D" w:rsidP="00205E3D">
      <w:pPr>
        <w:numPr>
          <w:ilvl w:val="0"/>
          <w:numId w:val="24"/>
        </w:numPr>
        <w:spacing w:before="120" w:after="120" w:line="240" w:lineRule="auto"/>
        <w:ind w:left="0"/>
        <w:rPr>
          <w:rFonts w:eastAsia="Times New Roman" w:cs="Segoe UI"/>
          <w:color w:val="141414"/>
          <w:sz w:val="18"/>
          <w:szCs w:val="18"/>
          <w:lang w:eastAsia="ru-RU"/>
        </w:rPr>
      </w:pPr>
      <w:r w:rsidRPr="00205E3D">
        <w:rPr>
          <w:rFonts w:eastAsia="Times New Roman" w:cs="Segoe UI"/>
          <w:color w:val="141414"/>
          <w:sz w:val="18"/>
          <w:szCs w:val="18"/>
          <w:lang w:eastAsia="ru-RU"/>
        </w:rPr>
        <w:t xml:space="preserve">0,5 балла — </w:t>
      </w:r>
      <w:proofErr w:type="gramStart"/>
      <w:r w:rsidRPr="00205E3D">
        <w:rPr>
          <w:rFonts w:eastAsia="Times New Roman" w:cs="Segoe UI"/>
          <w:color w:val="141414"/>
          <w:sz w:val="18"/>
          <w:szCs w:val="18"/>
          <w:lang w:eastAsia="ru-RU"/>
        </w:rPr>
        <w:t>предусмотрена</w:t>
      </w:r>
      <w:proofErr w:type="gramEnd"/>
      <w:r w:rsidRPr="00205E3D">
        <w:rPr>
          <w:rFonts w:eastAsia="Times New Roman" w:cs="Segoe UI"/>
          <w:color w:val="141414"/>
          <w:sz w:val="18"/>
          <w:szCs w:val="18"/>
          <w:lang w:eastAsia="ru-RU"/>
        </w:rPr>
        <w:t>.</w:t>
      </w:r>
    </w:p>
    <w:p w:rsidR="00205E3D" w:rsidRPr="00205E3D" w:rsidRDefault="00205E3D" w:rsidP="00205E3D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05E3D">
        <w:rPr>
          <w:rFonts w:eastAsia="Times New Roman" w:cs="Times New Roman"/>
          <w:sz w:val="24"/>
          <w:szCs w:val="24"/>
          <w:lang w:eastAsia="ru-RU"/>
        </w:rPr>
        <w:t> </w:t>
      </w:r>
      <w:r w:rsidRPr="00205E3D">
        <w:rPr>
          <w:rFonts w:eastAsia="Times New Roman" w:cs="Times New Roman"/>
          <w:sz w:val="24"/>
          <w:szCs w:val="24"/>
          <w:lang w:eastAsia="ru-RU"/>
        </w:rPr>
        <w:br/>
        <w:t>Наши рейтинги носят осведомительный характер. Результаты рейтинга не могут быть основанием для выбора конкретного финансового учреждения, а служат лишь средством оценки банковских предложен</w:t>
      </w:r>
      <w:r>
        <w:rPr>
          <w:rFonts w:eastAsia="Times New Roman" w:cs="Times New Roman"/>
          <w:sz w:val="24"/>
          <w:szCs w:val="24"/>
          <w:lang w:eastAsia="ru-RU"/>
        </w:rPr>
        <w:t>ий и текущей ситуации на рынке.</w:t>
      </w:r>
    </w:p>
    <w:p w:rsidR="004F52CB" w:rsidRPr="00205E3D" w:rsidRDefault="00555D06" w:rsidP="00BD4D66">
      <w:pPr>
        <w:spacing w:after="120" w:line="240" w:lineRule="auto"/>
        <w:rPr>
          <w:rFonts w:eastAsia="Times New Roman" w:cs="Segoe UI"/>
          <w:color w:val="141414"/>
          <w:sz w:val="21"/>
          <w:szCs w:val="21"/>
          <w:lang w:eastAsia="ru-RU"/>
        </w:rPr>
      </w:pPr>
      <w:r w:rsidRPr="00205E3D">
        <w:rPr>
          <w:rFonts w:eastAsia="Times New Roman" w:cs="Segoe UI"/>
          <w:color w:val="141414"/>
          <w:sz w:val="18"/>
          <w:szCs w:val="18"/>
          <w:lang w:eastAsia="ru-RU"/>
        </w:rPr>
        <w:br/>
        <w:t xml:space="preserve">Источник: </w:t>
      </w:r>
      <w:hyperlink r:id="rId7" w:history="1">
        <w:r w:rsidR="00205E3D" w:rsidRPr="0010725A">
          <w:rPr>
            <w:rStyle w:val="a3"/>
            <w:rFonts w:eastAsia="Times New Roman" w:cs="Segoe UI"/>
            <w:sz w:val="18"/>
            <w:szCs w:val="18"/>
            <w:lang w:eastAsia="ru-RU"/>
          </w:rPr>
          <w:t>https://finansist-kras.ru/news/finances/reyting-bankovskikh-vkladov-fizicheskikh-lits-v-rublyakh-krasnoyarsk-noyabr-2020/</w:t>
        </w:r>
      </w:hyperlink>
      <w:r w:rsidR="00205E3D">
        <w:rPr>
          <w:rFonts w:eastAsia="Times New Roman" w:cs="Segoe UI"/>
          <w:color w:val="141414"/>
          <w:sz w:val="18"/>
          <w:szCs w:val="18"/>
          <w:lang w:eastAsia="ru-RU"/>
        </w:rPr>
        <w:t xml:space="preserve"> </w:t>
      </w:r>
    </w:p>
    <w:sectPr w:rsidR="004F52CB" w:rsidRPr="00205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21C"/>
    <w:multiLevelType w:val="multilevel"/>
    <w:tmpl w:val="BCFC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136722"/>
    <w:multiLevelType w:val="multilevel"/>
    <w:tmpl w:val="8B88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4F69F1"/>
    <w:multiLevelType w:val="multilevel"/>
    <w:tmpl w:val="FA88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412B4C"/>
    <w:multiLevelType w:val="multilevel"/>
    <w:tmpl w:val="5562E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4F68C4"/>
    <w:multiLevelType w:val="multilevel"/>
    <w:tmpl w:val="CA06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B7518F"/>
    <w:multiLevelType w:val="multilevel"/>
    <w:tmpl w:val="5D1C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39553D"/>
    <w:multiLevelType w:val="multilevel"/>
    <w:tmpl w:val="B310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1068BC"/>
    <w:multiLevelType w:val="multilevel"/>
    <w:tmpl w:val="2CA4F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136F21"/>
    <w:multiLevelType w:val="multilevel"/>
    <w:tmpl w:val="0C5A3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7263B4"/>
    <w:multiLevelType w:val="multilevel"/>
    <w:tmpl w:val="562AEF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22FF5843"/>
    <w:multiLevelType w:val="multilevel"/>
    <w:tmpl w:val="7D56E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2336A1"/>
    <w:multiLevelType w:val="multilevel"/>
    <w:tmpl w:val="E3F27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246864"/>
    <w:multiLevelType w:val="multilevel"/>
    <w:tmpl w:val="21D8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D55AB2"/>
    <w:multiLevelType w:val="multilevel"/>
    <w:tmpl w:val="736E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730BF7"/>
    <w:multiLevelType w:val="multilevel"/>
    <w:tmpl w:val="8C506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78331B"/>
    <w:multiLevelType w:val="multilevel"/>
    <w:tmpl w:val="B212C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0E1D82"/>
    <w:multiLevelType w:val="multilevel"/>
    <w:tmpl w:val="761CA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3A5209"/>
    <w:multiLevelType w:val="multilevel"/>
    <w:tmpl w:val="B594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472A63"/>
    <w:multiLevelType w:val="multilevel"/>
    <w:tmpl w:val="A60EE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35185B"/>
    <w:multiLevelType w:val="multilevel"/>
    <w:tmpl w:val="FBF2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142E79"/>
    <w:multiLevelType w:val="multilevel"/>
    <w:tmpl w:val="3356F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5370F8"/>
    <w:multiLevelType w:val="multilevel"/>
    <w:tmpl w:val="737A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873012"/>
    <w:multiLevelType w:val="multilevel"/>
    <w:tmpl w:val="AB1C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F1278E"/>
    <w:multiLevelType w:val="multilevel"/>
    <w:tmpl w:val="7C74F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22"/>
  </w:num>
  <w:num w:numId="5">
    <w:abstractNumId w:val="23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  <w:num w:numId="11">
    <w:abstractNumId w:val="12"/>
  </w:num>
  <w:num w:numId="12">
    <w:abstractNumId w:val="13"/>
  </w:num>
  <w:num w:numId="13">
    <w:abstractNumId w:val="1"/>
  </w:num>
  <w:num w:numId="14">
    <w:abstractNumId w:val="15"/>
  </w:num>
  <w:num w:numId="15">
    <w:abstractNumId w:val="16"/>
  </w:num>
  <w:num w:numId="16">
    <w:abstractNumId w:val="4"/>
  </w:num>
  <w:num w:numId="17">
    <w:abstractNumId w:val="18"/>
  </w:num>
  <w:num w:numId="18">
    <w:abstractNumId w:val="20"/>
  </w:num>
  <w:num w:numId="19">
    <w:abstractNumId w:val="19"/>
  </w:num>
  <w:num w:numId="20">
    <w:abstractNumId w:val="21"/>
  </w:num>
  <w:num w:numId="21">
    <w:abstractNumId w:val="7"/>
  </w:num>
  <w:num w:numId="22">
    <w:abstractNumId w:val="11"/>
  </w:num>
  <w:num w:numId="23">
    <w:abstractNumId w:val="1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CB"/>
    <w:rsid w:val="00106E4D"/>
    <w:rsid w:val="00137F9C"/>
    <w:rsid w:val="00205E3D"/>
    <w:rsid w:val="002C406C"/>
    <w:rsid w:val="004C31DD"/>
    <w:rsid w:val="004F52CB"/>
    <w:rsid w:val="00555D06"/>
    <w:rsid w:val="006A5E23"/>
    <w:rsid w:val="008356B2"/>
    <w:rsid w:val="008D24B2"/>
    <w:rsid w:val="00BD4D66"/>
    <w:rsid w:val="00CC4668"/>
    <w:rsid w:val="00CC4B5F"/>
    <w:rsid w:val="00D3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23"/>
  </w:style>
  <w:style w:type="paragraph" w:styleId="1">
    <w:name w:val="heading 1"/>
    <w:basedOn w:val="a"/>
    <w:link w:val="10"/>
    <w:uiPriority w:val="9"/>
    <w:qFormat/>
    <w:rsid w:val="00BD4D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D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E2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06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4B5F"/>
  </w:style>
  <w:style w:type="character" w:customStyle="1" w:styleId="10">
    <w:name w:val="Заголовок 1 Знак"/>
    <w:basedOn w:val="a0"/>
    <w:link w:val="1"/>
    <w:uiPriority w:val="9"/>
    <w:rsid w:val="00BD4D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D4D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BD4D66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23"/>
  </w:style>
  <w:style w:type="paragraph" w:styleId="1">
    <w:name w:val="heading 1"/>
    <w:basedOn w:val="a"/>
    <w:link w:val="10"/>
    <w:uiPriority w:val="9"/>
    <w:qFormat/>
    <w:rsid w:val="00BD4D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D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E2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06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4B5F"/>
  </w:style>
  <w:style w:type="character" w:customStyle="1" w:styleId="10">
    <w:name w:val="Заголовок 1 Знак"/>
    <w:basedOn w:val="a0"/>
    <w:link w:val="1"/>
    <w:uiPriority w:val="9"/>
    <w:rsid w:val="00BD4D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D4D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BD4D66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inansist-kras.ru/news/finances/reyting-bankovskikh-vkladov-fizicheskikh-lits-v-rublyakh-krasnoyarsk-noyabr-20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ansist-kra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dcterms:created xsi:type="dcterms:W3CDTF">2020-11-27T06:44:00Z</dcterms:created>
  <dcterms:modified xsi:type="dcterms:W3CDTF">2020-11-27T06:44:00Z</dcterms:modified>
</cp:coreProperties>
</file>