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D" w:rsidRDefault="00CC4B5F" w:rsidP="00106E4D">
      <w:pPr>
        <w:jc w:val="center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 w:rsidRPr="00CC4B5F">
        <w:rPr>
          <w:rFonts w:ascii="Arial" w:hAnsi="Arial" w:cs="Arial"/>
          <w:b/>
          <w:sz w:val="28"/>
          <w:szCs w:val="28"/>
        </w:rPr>
        <w:t>Рейтинг банковских вкладов физических лиц в долларах, июль 2020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55D06" w:rsidRPr="00106E4D">
        <w:rPr>
          <w:rFonts w:ascii="Arial" w:hAnsi="Arial" w:cs="Arial"/>
          <w:b/>
          <w:sz w:val="28"/>
          <w:szCs w:val="28"/>
        </w:rPr>
        <w:t>с указанием баллов</w:t>
      </w:r>
      <w:r w:rsidR="006A5E23" w:rsidRPr="005C51EE">
        <w:rPr>
          <w:rFonts w:ascii="Arial" w:hAnsi="Arial" w:cs="Arial"/>
          <w:b/>
          <w:sz w:val="28"/>
          <w:szCs w:val="28"/>
        </w:rPr>
        <w:br/>
      </w:r>
      <w:hyperlink r:id="rId6" w:history="1">
        <w:r w:rsidR="00106E4D" w:rsidRPr="00DC0CA6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finansist</w:t>
        </w:r>
        <w:proofErr w:type="spellEnd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-k</w:t>
        </w:r>
        <w:proofErr w:type="spellStart"/>
        <w:r w:rsidR="00106E4D" w:rsidRPr="00DC0CA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ras</w:t>
        </w:r>
        <w:proofErr w:type="spellEnd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106E4D" w:rsidRPr="00DC0CA6">
          <w:rPr>
            <w:rStyle w:val="a3"/>
            <w:rFonts w:ascii="Arial" w:hAnsi="Arial" w:cs="Arial"/>
            <w:b/>
            <w:sz w:val="28"/>
            <w:szCs w:val="28"/>
          </w:rPr>
          <w:t>ru</w:t>
        </w:r>
        <w:proofErr w:type="spellEnd"/>
      </w:hyperlink>
      <w:r w:rsidR="00106E4D" w:rsidRPr="00106E4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5"/>
        <w:gridCol w:w="849"/>
        <w:gridCol w:w="1134"/>
        <w:gridCol w:w="1134"/>
        <w:gridCol w:w="1134"/>
      </w:tblGrid>
      <w:tr w:rsidR="00CC4B5F" w:rsidRPr="00200CB0" w:rsidTr="00CC4B5F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00CB0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00CB0">
              <w:rPr>
                <w:b/>
                <w:bCs/>
                <w:sz w:val="20"/>
                <w:szCs w:val="20"/>
              </w:rPr>
              <w:t>Банк,</w:t>
            </w: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bCs/>
                <w:sz w:val="20"/>
                <w:szCs w:val="20"/>
              </w:rPr>
              <w:t>наименование депозитной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bCs/>
                <w:sz w:val="20"/>
                <w:szCs w:val="20"/>
              </w:rPr>
              <w:t>Ставка, 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1 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2 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3 критерий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ББР БАНК</w:t>
            </w:r>
            <w:r w:rsidRPr="00200CB0">
              <w:rPr>
                <w:sz w:val="20"/>
                <w:szCs w:val="20"/>
              </w:rPr>
              <w:br/>
              <w:t>"Акцент на процент Плюс"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АЗИАТСКО-ТИХООКЕАНСКИЙ БАНК</w:t>
            </w:r>
            <w:r w:rsidRPr="00200CB0">
              <w:rPr>
                <w:sz w:val="20"/>
                <w:szCs w:val="20"/>
              </w:rPr>
              <w:br/>
              <w:t>"Сохрани"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ЕНИСЕЙСКИЙ ОБЪЕДИНЕННЫЙ БАНК</w:t>
            </w:r>
            <w:r w:rsidRPr="00200CB0">
              <w:rPr>
                <w:sz w:val="20"/>
                <w:szCs w:val="20"/>
              </w:rPr>
              <w:br/>
              <w:t>"Классика"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0,90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РЕНЕССАНС КРЕДИТ</w:t>
            </w:r>
            <w:r w:rsidRPr="00200CB0">
              <w:rPr>
                <w:sz w:val="20"/>
                <w:szCs w:val="20"/>
              </w:rPr>
              <w:br/>
              <w:t>"Ренессанс Доходный"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00CB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ОТП БАНК</w:t>
            </w:r>
            <w:r w:rsidRPr="00200CB0">
              <w:rPr>
                <w:sz w:val="20"/>
                <w:szCs w:val="20"/>
              </w:rPr>
              <w:br/>
              <w:t>"Максимальный"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0,60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ПРЕМЬЕР БКС</w:t>
            </w:r>
            <w:r w:rsidRPr="00200CB0">
              <w:rPr>
                <w:sz w:val="20"/>
                <w:szCs w:val="20"/>
              </w:rPr>
              <w:br/>
              <w:t>"Доходный"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0,50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СДМ-БАНК</w:t>
            </w:r>
            <w:r w:rsidRPr="00200CB0">
              <w:rPr>
                <w:sz w:val="20"/>
                <w:szCs w:val="20"/>
              </w:rPr>
              <w:br/>
              <w:t>"Доход"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00CB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ФРИДОМ ФИНАНС</w:t>
            </w: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«Срочный»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1,00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АКЦЕПТ</w:t>
            </w:r>
            <w:r w:rsidRPr="00200CB0">
              <w:rPr>
                <w:sz w:val="20"/>
                <w:szCs w:val="20"/>
              </w:rPr>
              <w:br/>
              <w:t>"Устойчивый процент"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C4B5F" w:rsidRPr="00200CB0" w:rsidRDefault="00CC4B5F" w:rsidP="00CC4B5F">
            <w:pPr>
              <w:pStyle w:val="a4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АК БАРС</w:t>
            </w:r>
            <w:r w:rsidRPr="00200CB0">
              <w:rPr>
                <w:sz w:val="20"/>
                <w:szCs w:val="20"/>
              </w:rPr>
              <w:br/>
              <w:t>"Просто накопить"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00CB0">
              <w:rPr>
                <w:sz w:val="20"/>
                <w:szCs w:val="20"/>
              </w:rPr>
              <w:t>0,40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БАНК ИНТЕЗА</w:t>
            </w:r>
            <w:r w:rsidRPr="00200CB0">
              <w:rPr>
                <w:sz w:val="20"/>
                <w:szCs w:val="20"/>
              </w:rPr>
              <w:br/>
              <w:t>"Классика"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0,35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БРАТСКИЙ АНКБ</w:t>
            </w:r>
            <w:r w:rsidRPr="00200CB0">
              <w:rPr>
                <w:sz w:val="20"/>
                <w:szCs w:val="20"/>
              </w:rPr>
              <w:br/>
              <w:t>"Прогрессивный"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after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ЮНИКРЕДИТ БАНК</w:t>
            </w:r>
            <w:r w:rsidRPr="00200CB0">
              <w:rPr>
                <w:sz w:val="20"/>
                <w:szCs w:val="20"/>
              </w:rPr>
              <w:br/>
              <w:t>"Первоклассный"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АВАНГАРД</w:t>
            </w:r>
            <w:r w:rsidRPr="00200CB0">
              <w:rPr>
                <w:sz w:val="20"/>
                <w:szCs w:val="20"/>
              </w:rPr>
              <w:br/>
              <w:t>"Базовый"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БАНК ОТКРЫТИЕ</w:t>
            </w:r>
            <w:r w:rsidRPr="00200CB0">
              <w:rPr>
                <w:sz w:val="20"/>
                <w:szCs w:val="20"/>
              </w:rPr>
              <w:br/>
              <w:t>"Надежный"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ВТБ</w:t>
            </w:r>
            <w:r w:rsidRPr="00200CB0">
              <w:rPr>
                <w:sz w:val="20"/>
                <w:szCs w:val="20"/>
              </w:rPr>
              <w:br/>
              <w:t>"Вклад в будущее"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МТС-БАНК</w:t>
            </w:r>
            <w:r w:rsidRPr="00200CB0">
              <w:rPr>
                <w:sz w:val="20"/>
                <w:szCs w:val="20"/>
              </w:rPr>
              <w:br/>
              <w:t>"МТС Доходный"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РОССЕЛЬХОЗБАНК</w:t>
            </w:r>
            <w:r w:rsidRPr="00200CB0">
              <w:rPr>
                <w:sz w:val="20"/>
                <w:szCs w:val="20"/>
              </w:rPr>
              <w:br/>
              <w:t>"Доходный"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ЛЕВОБЕРЕЖНЫЙ БАНК</w:t>
            </w:r>
            <w:r w:rsidRPr="00200CB0">
              <w:rPr>
                <w:sz w:val="20"/>
                <w:szCs w:val="20"/>
              </w:rPr>
              <w:br/>
              <w:t>"Валютный классический"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00CB0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ДОМ</w:t>
            </w:r>
            <w:proofErr w:type="gramStart"/>
            <w:r w:rsidRPr="00200CB0">
              <w:rPr>
                <w:sz w:val="20"/>
                <w:szCs w:val="20"/>
              </w:rPr>
              <w:t>.Р</w:t>
            </w:r>
            <w:proofErr w:type="gramEnd"/>
            <w:r w:rsidRPr="00200CB0">
              <w:rPr>
                <w:sz w:val="20"/>
                <w:szCs w:val="20"/>
              </w:rPr>
              <w:t>Ф</w:t>
            </w:r>
            <w:r w:rsidRPr="00200CB0">
              <w:rPr>
                <w:sz w:val="20"/>
                <w:szCs w:val="20"/>
              </w:rPr>
              <w:br/>
              <w:t>"Доступный"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ЛАНТА-БАНК</w:t>
            </w:r>
            <w:r w:rsidRPr="00200CB0">
              <w:rPr>
                <w:sz w:val="20"/>
                <w:szCs w:val="20"/>
              </w:rPr>
              <w:br/>
              <w:t>"Потенциал"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ПРОМСВЯЗЬБАНК</w:t>
            </w:r>
            <w:r w:rsidRPr="00200CB0">
              <w:rPr>
                <w:sz w:val="20"/>
                <w:szCs w:val="20"/>
              </w:rPr>
              <w:br/>
              <w:t>"Мой доход"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УРАЛСИБ</w:t>
            </w:r>
            <w:r w:rsidRPr="00200CB0">
              <w:rPr>
                <w:sz w:val="20"/>
                <w:szCs w:val="20"/>
              </w:rPr>
              <w:br/>
              <w:t>"Комфорт"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00CB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СБЕРБАНК</w:t>
            </w:r>
            <w:r w:rsidRPr="00200CB0">
              <w:rPr>
                <w:sz w:val="20"/>
                <w:szCs w:val="20"/>
              </w:rPr>
              <w:br/>
              <w:t>"Сохраняй"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0,05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11</w:t>
            </w:r>
          </w:p>
          <w:p w:rsidR="00CC4B5F" w:rsidRPr="00200CB0" w:rsidRDefault="00CC4B5F" w:rsidP="00CC4B5F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АЛЬФА-БАНК</w:t>
            </w:r>
            <w:r w:rsidRPr="00200CB0">
              <w:rPr>
                <w:sz w:val="20"/>
                <w:szCs w:val="20"/>
              </w:rPr>
              <w:br/>
              <w:t>"Победа +"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БАНК СОЮЗ</w:t>
            </w:r>
            <w:r w:rsidRPr="00200CB0">
              <w:rPr>
                <w:sz w:val="20"/>
                <w:szCs w:val="20"/>
              </w:rPr>
              <w:br/>
              <w:t>"Классический"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0,15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ВОСТОЧНЫЙ БАНК</w:t>
            </w:r>
            <w:r w:rsidRPr="00200CB0">
              <w:rPr>
                <w:sz w:val="20"/>
                <w:szCs w:val="20"/>
              </w:rPr>
              <w:br/>
              <w:t>"Сберкнижка"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0,01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ГАЗПРОМБАНК</w:t>
            </w:r>
          </w:p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«Для первых»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ДАЛЬНЕВОСТОЧНЫЙ БАНК</w:t>
            </w:r>
            <w:r w:rsidRPr="00200CB0">
              <w:rPr>
                <w:sz w:val="20"/>
                <w:szCs w:val="20"/>
              </w:rPr>
              <w:br/>
              <w:t>"Пополняемый"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0,05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РУССКИЙ СТАНДАРТ</w:t>
            </w:r>
            <w:r w:rsidRPr="00200CB0">
              <w:rPr>
                <w:sz w:val="20"/>
                <w:szCs w:val="20"/>
              </w:rPr>
              <w:br/>
              <w:t>"Валютный доход!"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ХАКАССКИЙ МУНИЦИПАЛЬНЫЙ БАНК</w:t>
            </w:r>
            <w:r w:rsidRPr="00200CB0">
              <w:rPr>
                <w:sz w:val="20"/>
                <w:szCs w:val="20"/>
              </w:rPr>
              <w:br/>
              <w:t>"Срочный пополняемый"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0,15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4B5F" w:rsidRPr="00200CB0" w:rsidTr="00CC4B5F">
        <w:trPr>
          <w:trHeight w:val="63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ЭКСПОБАНК</w:t>
            </w:r>
            <w:r w:rsidRPr="00200CB0">
              <w:rPr>
                <w:sz w:val="20"/>
                <w:szCs w:val="20"/>
              </w:rPr>
              <w:br/>
              <w:t>"Лидер"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5F" w:rsidRPr="00200CB0" w:rsidRDefault="00CC4B5F" w:rsidP="00CC4B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0CB0">
              <w:rPr>
                <w:sz w:val="20"/>
                <w:szCs w:val="20"/>
              </w:rPr>
              <w:t>0,10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sz w:val="20"/>
                <w:szCs w:val="20"/>
              </w:rPr>
            </w:pPr>
            <w:r w:rsidRPr="00200CB0"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5F" w:rsidRPr="00200CB0" w:rsidRDefault="00CC4B5F" w:rsidP="00CC4B5F">
            <w:pPr>
              <w:jc w:val="center"/>
              <w:rPr>
                <w:color w:val="000000"/>
                <w:sz w:val="20"/>
                <w:szCs w:val="20"/>
              </w:rPr>
            </w:pPr>
            <w:r w:rsidRPr="00200CB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55D06" w:rsidRDefault="00555D06" w:rsidP="00555D06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</w:p>
    <w:p w:rsidR="00555D06" w:rsidRPr="00086DD4" w:rsidRDefault="00555D06" w:rsidP="00555D06">
      <w:pPr>
        <w:spacing w:after="125" w:line="240" w:lineRule="auto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 w:rsidRPr="00086DD4"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  <w:t>Критерии оценки рейтинга:</w:t>
      </w:r>
    </w:p>
    <w:p w:rsidR="00CC4B5F" w:rsidRPr="003D6E4A" w:rsidRDefault="00CC4B5F" w:rsidP="00CC4B5F">
      <w:pPr>
        <w:rPr>
          <w:color w:val="141414"/>
        </w:rPr>
      </w:pPr>
      <w:r w:rsidRPr="003D6E4A">
        <w:rPr>
          <w:color w:val="141414"/>
        </w:rPr>
        <w:t>Диапазон оценки критериев варьировался от нуля (минимальное значение) до четырех (максимальное значение) баллов.</w:t>
      </w:r>
      <w:r w:rsidRPr="003D6E4A">
        <w:rPr>
          <w:rStyle w:val="apple-converted-space"/>
          <w:color w:val="141414"/>
        </w:rPr>
        <w:t> </w:t>
      </w:r>
      <w:r w:rsidRPr="003D6E4A">
        <w:rPr>
          <w:color w:val="141414"/>
        </w:rPr>
        <w:br/>
      </w:r>
      <w:r w:rsidRPr="003D6E4A">
        <w:rPr>
          <w:color w:val="141414"/>
        </w:rPr>
        <w:br/>
        <w:t>1.</w:t>
      </w:r>
      <w:r w:rsidRPr="003D6E4A">
        <w:rPr>
          <w:rStyle w:val="apple-converted-space"/>
          <w:color w:val="141414"/>
        </w:rPr>
        <w:t> </w:t>
      </w:r>
      <w:r w:rsidRPr="003D6E4A">
        <w:rPr>
          <w:b/>
          <w:bCs/>
          <w:color w:val="141414"/>
        </w:rPr>
        <w:t>Величина годовой процентной ставки</w:t>
      </w:r>
      <w:r w:rsidRPr="003D6E4A">
        <w:rPr>
          <w:rStyle w:val="apple-converted-space"/>
          <w:color w:val="141414"/>
        </w:rPr>
        <w:t> </w:t>
      </w:r>
      <w:r w:rsidRPr="003D6E4A">
        <w:rPr>
          <w:color w:val="141414"/>
        </w:rPr>
        <w:t>(средняя ставка составляет 0,29%</w:t>
      </w:r>
      <w:r>
        <w:rPr>
          <w:color w:val="141414"/>
        </w:rPr>
        <w:t xml:space="preserve"> </w:t>
      </w:r>
      <w:proofErr w:type="gramStart"/>
      <w:r>
        <w:rPr>
          <w:color w:val="141414"/>
        </w:rPr>
        <w:t>годовых</w:t>
      </w:r>
      <w:proofErr w:type="gramEnd"/>
      <w:r w:rsidRPr="003D6E4A">
        <w:rPr>
          <w:color w:val="141414"/>
        </w:rPr>
        <w:t>):</w:t>
      </w:r>
      <w:r w:rsidRPr="003D6E4A">
        <w:rPr>
          <w:rStyle w:val="apple-converted-space"/>
          <w:color w:val="141414"/>
        </w:rPr>
        <w:t> </w:t>
      </w:r>
      <w:r w:rsidRPr="003D6E4A">
        <w:rPr>
          <w:color w:val="141414"/>
        </w:rPr>
        <w:br/>
      </w:r>
    </w:p>
    <w:p w:rsidR="00CC4B5F" w:rsidRPr="003D6E4A" w:rsidRDefault="00CC4B5F" w:rsidP="00CC4B5F">
      <w:pPr>
        <w:spacing w:after="120"/>
        <w:rPr>
          <w:color w:val="141414"/>
        </w:rPr>
      </w:pPr>
      <w:r w:rsidRPr="003D6E4A">
        <w:rPr>
          <w:color w:val="141414"/>
        </w:rPr>
        <w:t>- 0 баллов — ниже среднего значения; </w:t>
      </w:r>
    </w:p>
    <w:p w:rsidR="00CC4B5F" w:rsidRPr="003D6E4A" w:rsidRDefault="00CC4B5F" w:rsidP="00CC4B5F">
      <w:pPr>
        <w:spacing w:after="120"/>
        <w:rPr>
          <w:color w:val="141414"/>
        </w:rPr>
      </w:pPr>
      <w:r w:rsidRPr="003D6E4A">
        <w:rPr>
          <w:color w:val="141414"/>
        </w:rPr>
        <w:t xml:space="preserve">- 2 балла — приблизительно </w:t>
      </w:r>
      <w:proofErr w:type="gramStart"/>
      <w:r w:rsidRPr="003D6E4A">
        <w:rPr>
          <w:color w:val="141414"/>
        </w:rPr>
        <w:t>равна</w:t>
      </w:r>
      <w:proofErr w:type="gramEnd"/>
      <w:r w:rsidRPr="003D6E4A">
        <w:rPr>
          <w:color w:val="141414"/>
        </w:rPr>
        <w:t xml:space="preserve"> среднему значению (±0,2%); </w:t>
      </w:r>
    </w:p>
    <w:p w:rsidR="00CC4B5F" w:rsidRPr="003D6E4A" w:rsidRDefault="00CC4B5F" w:rsidP="00CC4B5F">
      <w:pPr>
        <w:spacing w:after="120"/>
        <w:rPr>
          <w:color w:val="141414"/>
        </w:rPr>
      </w:pPr>
      <w:r w:rsidRPr="003D6E4A">
        <w:rPr>
          <w:color w:val="141414"/>
        </w:rPr>
        <w:t>- 4 балла — выше среднего значения. </w:t>
      </w:r>
    </w:p>
    <w:p w:rsidR="00CC4B5F" w:rsidRPr="003D6E4A" w:rsidRDefault="00CC4B5F" w:rsidP="00CC4B5F">
      <w:pPr>
        <w:pStyle w:val="a4"/>
        <w:spacing w:before="0" w:beforeAutospacing="0" w:after="0" w:afterAutospacing="0"/>
        <w:rPr>
          <w:color w:val="141414"/>
        </w:rPr>
      </w:pPr>
    </w:p>
    <w:p w:rsidR="00CC4B5F" w:rsidRPr="003D6E4A" w:rsidRDefault="00CC4B5F" w:rsidP="00CC4B5F">
      <w:pPr>
        <w:pStyle w:val="a4"/>
        <w:spacing w:before="0" w:beforeAutospacing="0" w:after="0" w:afterAutospacing="0"/>
        <w:rPr>
          <w:color w:val="141414"/>
        </w:rPr>
      </w:pPr>
      <w:r w:rsidRPr="003D6E4A">
        <w:rPr>
          <w:color w:val="141414"/>
        </w:rPr>
        <w:t>2. Возможность</w:t>
      </w:r>
      <w:r w:rsidRPr="003D6E4A">
        <w:rPr>
          <w:rStyle w:val="apple-converted-space"/>
          <w:color w:val="141414"/>
        </w:rPr>
        <w:t> </w:t>
      </w:r>
      <w:r w:rsidRPr="003D6E4A">
        <w:rPr>
          <w:b/>
          <w:bCs/>
          <w:color w:val="141414"/>
        </w:rPr>
        <w:t>совершения операций по вкладу</w:t>
      </w:r>
      <w:r w:rsidRPr="003D6E4A">
        <w:rPr>
          <w:color w:val="141414"/>
        </w:rPr>
        <w:t> (пополнение, расходные операции, пролонгация): </w:t>
      </w:r>
    </w:p>
    <w:p w:rsidR="00CC4B5F" w:rsidRPr="003D6E4A" w:rsidRDefault="00CC4B5F" w:rsidP="00CC4B5F">
      <w:pPr>
        <w:pStyle w:val="a4"/>
        <w:spacing w:before="0" w:beforeAutospacing="0" w:after="0" w:afterAutospacing="0"/>
        <w:rPr>
          <w:color w:val="141414"/>
        </w:rPr>
      </w:pPr>
    </w:p>
    <w:p w:rsidR="00CC4B5F" w:rsidRPr="003D6E4A" w:rsidRDefault="00CC4B5F" w:rsidP="00CC4B5F">
      <w:pPr>
        <w:pStyle w:val="a4"/>
        <w:spacing w:before="0" w:beforeAutospacing="0" w:after="0" w:afterAutospacing="0"/>
        <w:rPr>
          <w:color w:val="141414"/>
        </w:rPr>
      </w:pPr>
      <w:proofErr w:type="gramStart"/>
      <w:r w:rsidRPr="003D6E4A">
        <w:rPr>
          <w:color w:val="141414"/>
        </w:rPr>
        <w:t>- 0 баллов – все три типа операций недоступны;</w:t>
      </w:r>
      <w:r w:rsidRPr="003D6E4A">
        <w:rPr>
          <w:color w:val="141414"/>
        </w:rPr>
        <w:br/>
        <w:t>- 0,5 балла – доступен один тип операций из перечисленных; </w:t>
      </w:r>
      <w:r w:rsidRPr="003D6E4A">
        <w:rPr>
          <w:color w:val="141414"/>
        </w:rPr>
        <w:br/>
        <w:t>- 1 балл – доступны два типа операций из перечисленных; </w:t>
      </w:r>
      <w:r w:rsidRPr="003D6E4A">
        <w:rPr>
          <w:color w:val="141414"/>
        </w:rPr>
        <w:br/>
        <w:t>- 1,5 балла – доступны все три типа операций из перечисленных. </w:t>
      </w:r>
      <w:r w:rsidRPr="003D6E4A">
        <w:rPr>
          <w:color w:val="141414"/>
        </w:rPr>
        <w:br/>
      </w:r>
      <w:r w:rsidRPr="003D6E4A">
        <w:rPr>
          <w:color w:val="141414"/>
        </w:rPr>
        <w:lastRenderedPageBreak/>
        <w:br/>
      </w:r>
      <w:proofErr w:type="gramEnd"/>
    </w:p>
    <w:p w:rsidR="00CC4B5F" w:rsidRPr="003D6E4A" w:rsidRDefault="00CC4B5F" w:rsidP="00CC4B5F">
      <w:pPr>
        <w:pStyle w:val="a4"/>
        <w:spacing w:before="0" w:beforeAutospacing="0" w:after="0" w:afterAutospacing="0"/>
        <w:rPr>
          <w:color w:val="141414"/>
        </w:rPr>
      </w:pPr>
      <w:r w:rsidRPr="003D6E4A">
        <w:rPr>
          <w:color w:val="141414"/>
        </w:rPr>
        <w:t>3. Возможность</w:t>
      </w:r>
      <w:r w:rsidRPr="003D6E4A">
        <w:rPr>
          <w:rStyle w:val="apple-converted-space"/>
          <w:color w:val="141414"/>
        </w:rPr>
        <w:t> </w:t>
      </w:r>
      <w:r w:rsidRPr="003D6E4A">
        <w:rPr>
          <w:b/>
          <w:bCs/>
          <w:color w:val="141414"/>
        </w:rPr>
        <w:t>досрочного расторжения договора на льготных условиях</w:t>
      </w:r>
      <w:r w:rsidRPr="003D6E4A">
        <w:rPr>
          <w:color w:val="141414"/>
        </w:rPr>
        <w:t> (процентная ставка выше ставки вклада «До востребования»): </w:t>
      </w:r>
    </w:p>
    <w:p w:rsidR="00555D06" w:rsidRPr="00086DD4" w:rsidRDefault="00CC4B5F" w:rsidP="00CC4B5F">
      <w:pPr>
        <w:spacing w:after="100"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3D6E4A">
        <w:rPr>
          <w:color w:val="141414"/>
        </w:rPr>
        <w:br/>
        <w:t>- 0 баллов - льготная процентная ставка при досрочном расторжении договора не применяется; </w:t>
      </w:r>
      <w:r w:rsidRPr="003D6E4A">
        <w:rPr>
          <w:color w:val="141414"/>
        </w:rPr>
        <w:br/>
        <w:t>- 0,5 балла - действует льготная процентная ставка при досрочном расторжении договора</w:t>
      </w:r>
      <w:r>
        <w:rPr>
          <w:color w:val="141414"/>
        </w:rPr>
        <w:t>.</w:t>
      </w:r>
    </w:p>
    <w:tbl>
      <w:tblPr>
        <w:tblW w:w="0" w:type="auto"/>
        <w:tblCellSpacing w:w="7" w:type="dxa"/>
        <w:shd w:val="clear" w:color="auto" w:fill="B6DDE8" w:themeFill="accent5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555D06" w:rsidRPr="00086DD4" w:rsidTr="00CC4B5F">
        <w:trPr>
          <w:tblCellSpacing w:w="7" w:type="dxa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:rsidR="00555D06" w:rsidRPr="00086DD4" w:rsidRDefault="00CC4B5F" w:rsidP="00A81D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5F">
              <w:rPr>
                <w:bCs/>
                <w:color w:val="141414"/>
              </w:rPr>
              <w:t>Напоминаем, н</w:t>
            </w:r>
            <w:r w:rsidRPr="00CC4B5F">
              <w:rPr>
                <w:color w:val="141414"/>
              </w:rPr>
              <w:t>аши рейтинги носят осведомительный характер. Результаты рейтинга не могут быть основанием для выбора конкретного финансового учреждения, а служат лишь средством оценки банковских предложений и текущей ситуации на рынке.</w:t>
            </w:r>
          </w:p>
        </w:tc>
      </w:tr>
    </w:tbl>
    <w:p w:rsidR="004F52CB" w:rsidRPr="00106E4D" w:rsidRDefault="00555D06"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     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  <w:t xml:space="preserve">Источник: </w:t>
      </w:r>
      <w:hyperlink r:id="rId7" w:history="1">
        <w:r w:rsidR="00CC4B5F">
          <w:rPr>
            <w:rStyle w:val="a3"/>
          </w:rPr>
          <w:t>https://finansist-kras.ru/news/finances/reyting-bankovskikh-vkladov-fizicheskikh-lits-v-dollarakh-iyul-2020/</w:t>
        </w:r>
      </w:hyperlink>
    </w:p>
    <w:sectPr w:rsidR="004F52CB" w:rsidRPr="001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1C"/>
    <w:multiLevelType w:val="multilevel"/>
    <w:tmpl w:val="BCF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69F1"/>
    <w:multiLevelType w:val="multilevel"/>
    <w:tmpl w:val="FA8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553D"/>
    <w:multiLevelType w:val="multilevel"/>
    <w:tmpl w:val="B31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263B4"/>
    <w:multiLevelType w:val="multilevel"/>
    <w:tmpl w:val="562A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FF5843"/>
    <w:multiLevelType w:val="multilevel"/>
    <w:tmpl w:val="7D5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A5209"/>
    <w:multiLevelType w:val="multilevel"/>
    <w:tmpl w:val="B59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73012"/>
    <w:multiLevelType w:val="multilevel"/>
    <w:tmpl w:val="AB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1278E"/>
    <w:multiLevelType w:val="multilevel"/>
    <w:tmpl w:val="7C7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B"/>
    <w:rsid w:val="00106E4D"/>
    <w:rsid w:val="004F52CB"/>
    <w:rsid w:val="00555D06"/>
    <w:rsid w:val="006A5E23"/>
    <w:rsid w:val="008356B2"/>
    <w:rsid w:val="00CC4668"/>
    <w:rsid w:val="00C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bankovskikh-vkladov-fizicheskikh-lits-v-dollarakh-iyul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2020-05-29T05:05:00Z</dcterms:created>
  <dcterms:modified xsi:type="dcterms:W3CDTF">2020-07-21T03:17:00Z</dcterms:modified>
</cp:coreProperties>
</file>