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10" w:rsidRPr="000C2610" w:rsidRDefault="000C2610" w:rsidP="000C2610">
      <w:pPr>
        <w:pStyle w:val="1"/>
        <w:spacing w:before="0" w:after="63"/>
        <w:rPr>
          <w:color w:val="auto"/>
        </w:rPr>
      </w:pPr>
      <w:r w:rsidRPr="00C40A25">
        <w:rPr>
          <w:rFonts w:ascii="Times New Roman" w:hAnsi="Times New Roman" w:cs="Times New Roman"/>
          <w:color w:val="141414"/>
          <w:sz w:val="32"/>
          <w:szCs w:val="32"/>
        </w:rPr>
        <w:t xml:space="preserve">Рейтинг по кредитам наличными в рублях </w:t>
      </w:r>
      <w:r>
        <w:rPr>
          <w:rFonts w:ascii="Times New Roman" w:hAnsi="Times New Roman" w:cs="Times New Roman"/>
          <w:color w:val="141414"/>
          <w:sz w:val="32"/>
          <w:szCs w:val="32"/>
        </w:rPr>
        <w:t xml:space="preserve">от банков </w:t>
      </w:r>
      <w:r w:rsidRPr="00C40A25">
        <w:rPr>
          <w:rFonts w:ascii="Times New Roman" w:hAnsi="Times New Roman" w:cs="Times New Roman"/>
          <w:color w:val="141414"/>
          <w:sz w:val="32"/>
          <w:szCs w:val="32"/>
        </w:rPr>
        <w:t xml:space="preserve">Красноярска, </w:t>
      </w:r>
      <w:r>
        <w:rPr>
          <w:rFonts w:ascii="Times New Roman" w:hAnsi="Times New Roman" w:cs="Times New Roman"/>
          <w:color w:val="141414"/>
          <w:sz w:val="32"/>
          <w:szCs w:val="32"/>
        </w:rPr>
        <w:t>апрел</w:t>
      </w:r>
      <w:r w:rsidRPr="00C40A25">
        <w:rPr>
          <w:rFonts w:ascii="Times New Roman" w:hAnsi="Times New Roman" w:cs="Times New Roman"/>
          <w:color w:val="141414"/>
          <w:sz w:val="32"/>
          <w:szCs w:val="32"/>
        </w:rPr>
        <w:t>ь 202</w:t>
      </w:r>
      <w:r>
        <w:rPr>
          <w:rFonts w:ascii="Times New Roman" w:hAnsi="Times New Roman" w:cs="Times New Roman"/>
          <w:color w:val="141414"/>
          <w:sz w:val="32"/>
          <w:szCs w:val="32"/>
        </w:rPr>
        <w:t>1</w:t>
      </w:r>
      <w:r>
        <w:rPr>
          <w:rFonts w:ascii="Times New Roman" w:hAnsi="Times New Roman" w:cs="Times New Roman"/>
          <w:color w:val="141414"/>
          <w:sz w:val="32"/>
          <w:szCs w:val="32"/>
        </w:rPr>
        <w:br/>
        <w:t>с указанием баллов</w:t>
      </w:r>
      <w:r>
        <w:rPr>
          <w:rFonts w:ascii="Times New Roman" w:hAnsi="Times New Roman" w:cs="Times New Roman"/>
          <w:color w:val="141414"/>
          <w:sz w:val="32"/>
          <w:szCs w:val="32"/>
        </w:rPr>
        <w:br/>
      </w:r>
      <w:hyperlink r:id="rId6" w:history="1">
        <w:r w:rsidRPr="004C61B4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4C61B4">
          <w:rPr>
            <w:rStyle w:val="a4"/>
            <w:rFonts w:ascii="Times New Roman" w:hAnsi="Times New Roman" w:cs="Times New Roman"/>
            <w:sz w:val="32"/>
            <w:szCs w:val="32"/>
          </w:rPr>
          <w:t>.finansist-kras.ru</w:t>
        </w:r>
      </w:hyperlink>
      <w:r>
        <w:rPr>
          <w:rFonts w:ascii="Times New Roman" w:hAnsi="Times New Roman" w:cs="Times New Roman"/>
          <w:color w:val="141414"/>
          <w:sz w:val="32"/>
          <w:szCs w:val="32"/>
        </w:rPr>
        <w:t xml:space="preserve"> </w:t>
      </w:r>
      <w:r w:rsidRPr="000C2610">
        <w:rPr>
          <w:color w:val="auto"/>
        </w:rPr>
        <w:br/>
      </w:r>
    </w:p>
    <w:tbl>
      <w:tblPr>
        <w:tblW w:w="9640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1084"/>
        <w:gridCol w:w="900"/>
        <w:gridCol w:w="992"/>
        <w:gridCol w:w="993"/>
        <w:gridCol w:w="992"/>
        <w:gridCol w:w="992"/>
      </w:tblGrid>
      <w:tr w:rsidR="000C2610" w:rsidRPr="000C2610" w:rsidTr="000C2610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bCs/>
                <w:sz w:val="20"/>
                <w:szCs w:val="20"/>
              </w:rPr>
              <w:t>Название банка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b/>
                <w:bCs/>
                <w:sz w:val="20"/>
                <w:szCs w:val="20"/>
              </w:rPr>
              <w:t>и кредитной программы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C2610">
              <w:rPr>
                <w:b/>
                <w:bCs/>
                <w:sz w:val="20"/>
                <w:szCs w:val="20"/>
              </w:rPr>
              <w:t>Ставка*,</w:t>
            </w:r>
          </w:p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bCs/>
                <w:sz w:val="20"/>
                <w:szCs w:val="20"/>
              </w:rPr>
              <w:t>% годовых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критерий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критерий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критерий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критерий</w:t>
            </w:r>
          </w:p>
        </w:tc>
      </w:tr>
      <w:tr w:rsidR="000C2610" w:rsidRPr="000C2610" w:rsidTr="000C2610">
        <w:trPr>
          <w:trHeight w:val="390"/>
          <w:tblCellSpacing w:w="0" w:type="dxa"/>
        </w:trPr>
        <w:tc>
          <w:tcPr>
            <w:tcW w:w="70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УРАЛСИБ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5,0-16,9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610" w:rsidRPr="000C2610" w:rsidTr="000C2610">
        <w:trPr>
          <w:trHeight w:val="497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ПОЧТА БАНК</w:t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5,9-19,9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610" w:rsidRPr="000C2610" w:rsidTr="000C2610">
        <w:trPr>
          <w:trHeight w:val="486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РАЙФФАЙЗЕНБАНК</w:t>
            </w:r>
            <w:r w:rsidRPr="000C2610">
              <w:rPr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5,99-18,99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610" w:rsidRPr="000C2610" w:rsidTr="000C2610">
        <w:trPr>
          <w:trHeight w:val="456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СКБ-БАНК</w:t>
            </w: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«Быстрый кредит»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9,1-16,9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610" w:rsidRPr="000C2610" w:rsidTr="000C2610">
        <w:trPr>
          <w:trHeight w:val="262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ВТБ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«Кредит наличными</w:t>
            </w:r>
          </w:p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на любые цели»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6,5-20,7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262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ГАЗПРОМБАНК</w:t>
            </w:r>
            <w:r w:rsidRPr="000C2610">
              <w:rPr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8,9-15,9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C2610" w:rsidRPr="000C2610" w:rsidTr="000C2610">
        <w:trPr>
          <w:trHeight w:val="508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АКЦЕПТ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7,9-17,2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558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БАНК ОТКРЫТИЕ</w:t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 любые цели»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5,5-21,1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538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РОСБАНК</w:t>
            </w: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5,9-21,2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393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АЗИАТСКО-ТИХООКЕАНСКИЙ БАНК</w:t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br/>
              <w:t>Кредит «</w:t>
            </w:r>
            <w:proofErr w:type="spellStart"/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Акционный</w:t>
            </w:r>
            <w:proofErr w:type="spellEnd"/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6,5-13,5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393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РОССЕЛЬХОЗБАНК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Акция «Потребительские кредиты от 5,7%»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9,7-15,2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393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ХАКАССКИЙ МУНИЦИПАЛЬНЫЙ БАНК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Потребительский кредит «Акция»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12,0-15,5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549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ЛАНТА-БАНК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«Потребительский кредит»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13,5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314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РОСГОССТРАХ БАНК</w:t>
            </w:r>
          </w:p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7,9-20,8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610" w:rsidRPr="000C2610" w:rsidTr="000C2610">
        <w:trPr>
          <w:trHeight w:val="450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СТАНДАРТ</w:t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7,9-21,9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C2610" w:rsidRPr="000C2610" w:rsidTr="000C2610">
        <w:trPr>
          <w:trHeight w:val="604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АЛЬФА-БАНК</w:t>
            </w:r>
          </w:p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8,5-20,99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C2610" w:rsidRPr="000C2610" w:rsidTr="000C2610">
        <w:trPr>
          <w:trHeight w:val="257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2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СБЕР</w:t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 любые цели»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10,9-19,7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610" w:rsidRPr="000C2610" w:rsidTr="000C2610">
        <w:trPr>
          <w:trHeight w:val="558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ХОУМ КРЕДИТ ЭНД ФИНАНС БАНК</w:t>
            </w:r>
            <w:r w:rsidRPr="000C2610">
              <w:rPr>
                <w:sz w:val="20"/>
                <w:szCs w:val="20"/>
              </w:rPr>
              <w:br/>
              <w:t>«Наличные в кредит»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7,9-21,0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584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АК БАРС БАНК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8,9-20,9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ДАЛЬНЕВОСТОЧНЫЙ БАНК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«Кредит наличными</w:t>
            </w:r>
          </w:p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без обеспечения»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12,3-16,5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651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ПРОМСВЯЗЬБАНК</w:t>
            </w: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Кредит «Открытый рынок»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10,9-16,9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651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ЮНИКРЕДИТ БАНК</w:t>
            </w: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«Потребительский кредит»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11,9-15,9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263"/>
          <w:tblCellSpacing w:w="0" w:type="dxa"/>
        </w:trPr>
        <w:tc>
          <w:tcPr>
            <w:tcW w:w="70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ЕНИСЕЙСКИЙ ОБЪЕДИНЕННЫЙ БАНК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14,0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675"/>
          <w:tblCellSpacing w:w="0" w:type="dxa"/>
        </w:trPr>
        <w:tc>
          <w:tcPr>
            <w:tcW w:w="70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ЭКСПОБАНК</w:t>
            </w:r>
          </w:p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sz w:val="20"/>
                <w:szCs w:val="20"/>
              </w:rPr>
              <w:t xml:space="preserve">«Легкий кредит» </w:t>
            </w:r>
            <w:proofErr w:type="spellStart"/>
            <w:r w:rsidRPr="000C2610">
              <w:rPr>
                <w:rFonts w:ascii="Times New Roman" w:hAnsi="Times New Roman" w:cs="Times New Roman"/>
                <w:sz w:val="20"/>
                <w:szCs w:val="20"/>
              </w:rPr>
              <w:t>Акционный</w:t>
            </w:r>
            <w:proofErr w:type="spellEnd"/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7,9-24,0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610" w:rsidRPr="000C2610" w:rsidTr="000C2610">
        <w:trPr>
          <w:trHeight w:val="675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0C2610">
              <w:rPr>
                <w:b/>
                <w:sz w:val="20"/>
                <w:szCs w:val="20"/>
              </w:rPr>
              <w:t>ЛЕВОБЕРЕЖНЫЙ</w:t>
            </w:r>
            <w:proofErr w:type="gramEnd"/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«Ваша ставка!»</w:t>
            </w:r>
          </w:p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для новых клиентов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C2610" w:rsidRPr="000C2610" w:rsidTr="000C2610">
        <w:trPr>
          <w:trHeight w:val="310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ОТП БАНК</w:t>
            </w:r>
          </w:p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14,9-31,1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C2610" w:rsidRPr="000C2610" w:rsidTr="000C2610">
        <w:trPr>
          <w:trHeight w:val="631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СОВКОМБАНК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«Стандартный плюс»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6,9-29,9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610" w:rsidRPr="000C2610" w:rsidTr="000C2610">
        <w:trPr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ВОСТОЧНЫЙ БАНК</w:t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9,9-29,9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МОСКОВСКИЙ ОБЛАСТНОЙ</w:t>
            </w:r>
          </w:p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hAnsi="Times New Roman" w:cs="Times New Roman"/>
                <w:b/>
                <w:sz w:val="20"/>
                <w:szCs w:val="20"/>
              </w:rPr>
              <w:t>БАНК</w:t>
            </w:r>
            <w:r w:rsidRPr="000C2610">
              <w:rPr>
                <w:rFonts w:ascii="Times New Roman" w:hAnsi="Times New Roman" w:cs="Times New Roman"/>
                <w:sz w:val="20"/>
                <w:szCs w:val="20"/>
              </w:rPr>
              <w:br/>
              <w:t>«Потребительский кредит»</w:t>
            </w:r>
          </w:p>
        </w:tc>
        <w:tc>
          <w:tcPr>
            <w:tcW w:w="1084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18,0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610" w:rsidRPr="000C2610" w:rsidTr="000C2610">
        <w:trPr>
          <w:trHeight w:val="580"/>
          <w:tblCellSpacing w:w="0" w:type="dxa"/>
        </w:trPr>
        <w:tc>
          <w:tcPr>
            <w:tcW w:w="70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b/>
                <w:sz w:val="20"/>
                <w:szCs w:val="20"/>
              </w:rPr>
              <w:t>БАНК ИНТЕЗА</w:t>
            </w:r>
            <w:r w:rsidRPr="000C2610">
              <w:rPr>
                <w:b/>
                <w:sz w:val="20"/>
                <w:szCs w:val="20"/>
              </w:rPr>
              <w:br/>
            </w:r>
            <w:r w:rsidRPr="000C2610">
              <w:rPr>
                <w:sz w:val="20"/>
                <w:szCs w:val="20"/>
              </w:rPr>
              <w:t>Кредит «Базовый»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610" w:rsidRPr="000C2610" w:rsidRDefault="000C2610" w:rsidP="000C261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2610">
              <w:rPr>
                <w:sz w:val="20"/>
                <w:szCs w:val="20"/>
              </w:rPr>
              <w:t>16,99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610" w:rsidRPr="000C2610" w:rsidRDefault="000C2610" w:rsidP="000C2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C2610" w:rsidRPr="000C2610" w:rsidRDefault="000C2610" w:rsidP="000C2610">
      <w:pPr>
        <w:pStyle w:val="a3"/>
        <w:spacing w:before="0" w:beforeAutospacing="0" w:after="0" w:afterAutospacing="0"/>
      </w:pPr>
      <w:r w:rsidRPr="00E129E0">
        <w:rPr>
          <w:color w:val="141414"/>
          <w:sz w:val="20"/>
          <w:szCs w:val="20"/>
        </w:rPr>
        <w:t xml:space="preserve">Условия кредитов в банках Красноярска представлены на </w:t>
      </w:r>
      <w:r>
        <w:rPr>
          <w:color w:val="141414"/>
          <w:sz w:val="20"/>
          <w:szCs w:val="20"/>
        </w:rPr>
        <w:t>22 апреля</w:t>
      </w:r>
      <w:r w:rsidRPr="00E129E0">
        <w:rPr>
          <w:color w:val="141414"/>
          <w:sz w:val="20"/>
          <w:szCs w:val="20"/>
        </w:rPr>
        <w:t xml:space="preserve"> 202</w:t>
      </w:r>
      <w:r>
        <w:rPr>
          <w:color w:val="141414"/>
          <w:sz w:val="20"/>
          <w:szCs w:val="20"/>
        </w:rPr>
        <w:t>1</w:t>
      </w:r>
      <w:r w:rsidRPr="00E129E0">
        <w:rPr>
          <w:color w:val="141414"/>
          <w:sz w:val="20"/>
          <w:szCs w:val="20"/>
        </w:rPr>
        <w:t> года.</w:t>
      </w:r>
      <w:r w:rsidRPr="00E129E0">
        <w:rPr>
          <w:color w:val="141414"/>
          <w:sz w:val="20"/>
          <w:szCs w:val="20"/>
        </w:rPr>
        <w:br/>
        <w:t>*В рейтинге рассматривался диапазон ставок: минимальная - при условии подключения услуги страхования и максимальная - при условии отказа от услуги страхования (если таковые предусмотрены программой).</w:t>
      </w:r>
      <w:r w:rsidRPr="003130B1">
        <w:rPr>
          <w:color w:val="141414"/>
        </w:rPr>
        <w:t> </w:t>
      </w:r>
    </w:p>
    <w:p w:rsidR="000C2610" w:rsidRPr="000C2610" w:rsidRDefault="000C2610" w:rsidP="000C2610">
      <w:pPr>
        <w:pStyle w:val="a3"/>
        <w:spacing w:before="0" w:beforeAutospacing="0" w:after="0" w:afterAutospacing="0"/>
      </w:pPr>
    </w:p>
    <w:p w:rsidR="000C2610" w:rsidRPr="000C2610" w:rsidRDefault="000C2610" w:rsidP="000C2610">
      <w:pPr>
        <w:pStyle w:val="3"/>
        <w:spacing w:before="0" w:after="125"/>
        <w:rPr>
          <w:color w:val="auto"/>
          <w:sz w:val="24"/>
          <w:szCs w:val="24"/>
        </w:rPr>
      </w:pPr>
      <w:r w:rsidRPr="000C2610">
        <w:rPr>
          <w:color w:val="auto"/>
          <w:sz w:val="24"/>
          <w:szCs w:val="24"/>
        </w:rPr>
        <w:t>Критерии оценки рейтинга</w:t>
      </w:r>
      <w:r>
        <w:rPr>
          <w:color w:val="auto"/>
          <w:sz w:val="24"/>
          <w:szCs w:val="24"/>
        </w:rPr>
        <w:t>:</w:t>
      </w:r>
    </w:p>
    <w:p w:rsidR="000C2610" w:rsidRPr="000C2610" w:rsidRDefault="000C2610" w:rsidP="000C2610">
      <w:pPr>
        <w:pStyle w:val="a3"/>
        <w:spacing w:before="0" w:beforeAutospacing="0" w:after="0" w:afterAutospacing="0"/>
      </w:pPr>
      <w:r>
        <w:t>О</w:t>
      </w:r>
      <w:r w:rsidRPr="000C2610">
        <w:t>ценке подлежали следующие характеристики кредитных программ (интервалы оценочной шкалы варьировались от 0 (минимальное) до 4 (максимальное) количества баллов):</w:t>
      </w:r>
      <w:r w:rsidRPr="000C2610">
        <w:br/>
        <w:t>1. </w:t>
      </w:r>
      <w:proofErr w:type="gramStart"/>
      <w:r w:rsidRPr="000C2610">
        <w:rPr>
          <w:b/>
          <w:bCs/>
        </w:rPr>
        <w:t>Величина процентной ставки* в рублях</w:t>
      </w:r>
      <w:r w:rsidRPr="000C2610">
        <w:t> (средняя составляет 14,75% годовых):</w:t>
      </w:r>
      <w:proofErr w:type="gramEnd"/>
    </w:p>
    <w:p w:rsidR="000C2610" w:rsidRPr="000C2610" w:rsidRDefault="000C2610" w:rsidP="000C2610">
      <w:pPr>
        <w:numPr>
          <w:ilvl w:val="0"/>
          <w:numId w:val="1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 xml:space="preserve">0 баллов - выше </w:t>
      </w:r>
      <w:proofErr w:type="gramStart"/>
      <w:r w:rsidRPr="000C2610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0C2610">
        <w:rPr>
          <w:rFonts w:ascii="Times New Roman" w:hAnsi="Times New Roman" w:cs="Times New Roman"/>
          <w:sz w:val="24"/>
          <w:szCs w:val="24"/>
        </w:rPr>
        <w:t>;</w:t>
      </w:r>
    </w:p>
    <w:p w:rsidR="000C2610" w:rsidRPr="000C2610" w:rsidRDefault="000C2610" w:rsidP="000C2610">
      <w:pPr>
        <w:numPr>
          <w:ilvl w:val="0"/>
          <w:numId w:val="1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 xml:space="preserve">2 балла - приблизительно </w:t>
      </w:r>
      <w:proofErr w:type="gramStart"/>
      <w:r w:rsidRPr="000C2610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0C2610">
        <w:rPr>
          <w:rFonts w:ascii="Times New Roman" w:hAnsi="Times New Roman" w:cs="Times New Roman"/>
          <w:sz w:val="24"/>
          <w:szCs w:val="24"/>
        </w:rPr>
        <w:t xml:space="preserve"> средней (±1% годовых);</w:t>
      </w:r>
    </w:p>
    <w:p w:rsidR="000C2610" w:rsidRPr="000C2610" w:rsidRDefault="000C2610" w:rsidP="000C2610">
      <w:pPr>
        <w:numPr>
          <w:ilvl w:val="0"/>
          <w:numId w:val="1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 xml:space="preserve">4 балла - ниже </w:t>
      </w:r>
      <w:proofErr w:type="gramStart"/>
      <w:r w:rsidRPr="000C2610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0C2610">
        <w:rPr>
          <w:rFonts w:ascii="Times New Roman" w:hAnsi="Times New Roman" w:cs="Times New Roman"/>
          <w:sz w:val="24"/>
          <w:szCs w:val="24"/>
        </w:rPr>
        <w:t>. </w:t>
      </w:r>
    </w:p>
    <w:p w:rsidR="000C2610" w:rsidRPr="000C2610" w:rsidRDefault="000C2610" w:rsidP="000C2610">
      <w:pPr>
        <w:pStyle w:val="a3"/>
        <w:spacing w:before="0" w:beforeAutospacing="0" w:after="0" w:afterAutospacing="0"/>
      </w:pPr>
      <w:r w:rsidRPr="000C2610">
        <w:t>2. </w:t>
      </w:r>
      <w:r w:rsidRPr="000C2610">
        <w:rPr>
          <w:b/>
          <w:bCs/>
        </w:rPr>
        <w:t>Максимальный срок кредитования:</w:t>
      </w:r>
    </w:p>
    <w:p w:rsidR="000C2610" w:rsidRPr="000C2610" w:rsidRDefault="000C2610" w:rsidP="000C2610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>0 баллов — 24-36 месяцев;</w:t>
      </w:r>
    </w:p>
    <w:p w:rsidR="000C2610" w:rsidRPr="000C2610" w:rsidRDefault="000C2610" w:rsidP="000C2610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>0,5 балла — 60 месяцев;</w:t>
      </w:r>
    </w:p>
    <w:p w:rsidR="000C2610" w:rsidRPr="000C2610" w:rsidRDefault="000C2610" w:rsidP="000C2610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>1 балл — 84 месяца. </w:t>
      </w:r>
    </w:p>
    <w:p w:rsidR="000C2610" w:rsidRPr="000C2610" w:rsidRDefault="000C2610" w:rsidP="000C2610">
      <w:pPr>
        <w:pStyle w:val="a3"/>
        <w:spacing w:before="0" w:beforeAutospacing="0" w:after="0" w:afterAutospacing="0"/>
      </w:pPr>
      <w:r w:rsidRPr="000C2610">
        <w:t>3. </w:t>
      </w:r>
      <w:r w:rsidRPr="000C2610">
        <w:rPr>
          <w:b/>
          <w:bCs/>
        </w:rPr>
        <w:t>Требование к трудовому стажу заемщика на последнем/текущем месте работы:</w:t>
      </w:r>
    </w:p>
    <w:p w:rsidR="000C2610" w:rsidRPr="000C2610" w:rsidRDefault="000C2610" w:rsidP="000C2610">
      <w:pPr>
        <w:numPr>
          <w:ilvl w:val="0"/>
          <w:numId w:val="3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lastRenderedPageBreak/>
        <w:t>0 баллов — 6 месяцев и более;</w:t>
      </w:r>
    </w:p>
    <w:p w:rsidR="000C2610" w:rsidRPr="000C2610" w:rsidRDefault="000C2610" w:rsidP="000C2610">
      <w:pPr>
        <w:numPr>
          <w:ilvl w:val="0"/>
          <w:numId w:val="3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>0,5 балла — 3-4 месяца;</w:t>
      </w:r>
    </w:p>
    <w:p w:rsidR="000C2610" w:rsidRPr="000C2610" w:rsidRDefault="000C2610" w:rsidP="000C2610">
      <w:pPr>
        <w:numPr>
          <w:ilvl w:val="0"/>
          <w:numId w:val="3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>1 балл — требование не предъявляется.  </w:t>
      </w:r>
    </w:p>
    <w:p w:rsidR="000C2610" w:rsidRPr="000C2610" w:rsidRDefault="000C2610" w:rsidP="000C2610">
      <w:pPr>
        <w:pStyle w:val="a3"/>
        <w:spacing w:before="0" w:beforeAutospacing="0" w:after="0" w:afterAutospacing="0"/>
      </w:pPr>
      <w:r w:rsidRPr="000C2610">
        <w:t>4. </w:t>
      </w:r>
      <w:r w:rsidRPr="000C2610">
        <w:rPr>
          <w:b/>
          <w:bCs/>
        </w:rPr>
        <w:t>Является ли обязательным предъявление документа о финансовом состоянии заемщика:</w:t>
      </w:r>
    </w:p>
    <w:p w:rsidR="000C2610" w:rsidRPr="000C2610" w:rsidRDefault="000C2610" w:rsidP="000C2610">
      <w:pPr>
        <w:numPr>
          <w:ilvl w:val="0"/>
          <w:numId w:val="4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>0 баллов — справка о доходах - в числе обязательных документов для получения кредита;</w:t>
      </w:r>
    </w:p>
    <w:p w:rsidR="000C2610" w:rsidRPr="000C2610" w:rsidRDefault="000C2610" w:rsidP="000C2610">
      <w:pPr>
        <w:numPr>
          <w:ilvl w:val="0"/>
          <w:numId w:val="4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>0,5 балла – в числе обязательных документов справки о доходах нет, однако банк оставляет за собой право ее запросить;</w:t>
      </w:r>
    </w:p>
    <w:p w:rsidR="000C2610" w:rsidRPr="000C2610" w:rsidRDefault="000C2610" w:rsidP="000C2610">
      <w:pPr>
        <w:numPr>
          <w:ilvl w:val="0"/>
          <w:numId w:val="4"/>
        </w:numPr>
        <w:spacing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610">
        <w:rPr>
          <w:rFonts w:ascii="Times New Roman" w:hAnsi="Times New Roman" w:cs="Times New Roman"/>
          <w:sz w:val="24"/>
          <w:szCs w:val="24"/>
        </w:rPr>
        <w:t>1 балл — справка о доходах не требуется. </w:t>
      </w:r>
    </w:p>
    <w:p w:rsidR="000C2610" w:rsidRPr="000C2610" w:rsidRDefault="000C2610">
      <w:r>
        <w:t xml:space="preserve">Источник: </w:t>
      </w:r>
      <w:hyperlink r:id="rId7" w:history="1">
        <w:r w:rsidRPr="004C61B4">
          <w:rPr>
            <w:rStyle w:val="a4"/>
          </w:rPr>
          <w:t>https://finansist-kras.ru/news/finances/reyting-po-kreditam-nalichnymi-v-rublyakh-ot-bankov-krasnoyarska-aprel-2021/</w:t>
        </w:r>
      </w:hyperlink>
      <w:r>
        <w:t xml:space="preserve"> </w:t>
      </w:r>
      <w:bookmarkStart w:id="0" w:name="_GoBack"/>
      <w:bookmarkEnd w:id="0"/>
    </w:p>
    <w:sectPr w:rsidR="000C2610" w:rsidRPr="000C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545"/>
    <w:multiLevelType w:val="multilevel"/>
    <w:tmpl w:val="6C5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E1784"/>
    <w:multiLevelType w:val="multilevel"/>
    <w:tmpl w:val="A880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F71D3"/>
    <w:multiLevelType w:val="multilevel"/>
    <w:tmpl w:val="064E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46037"/>
    <w:multiLevelType w:val="multilevel"/>
    <w:tmpl w:val="ECC6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10"/>
    <w:rsid w:val="000C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61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1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6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C2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C2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61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1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6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C2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C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ansist-kras.ru/news/finances/reyting-po-kreditam-nalichnymi-v-rublyakh-ot-bankov-krasnoyarska-aprel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sist-k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2021-04-23T01:38:00Z</dcterms:created>
  <dcterms:modified xsi:type="dcterms:W3CDTF">2021-04-23T01:42:00Z</dcterms:modified>
</cp:coreProperties>
</file>